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docProps/core.xml" ContentType="application/vnd.openxmlformats-package.core-properties+xml"/>
  <Override PartName="/docProps/app.xml" ContentType="application/vnd.openxmlformats-officedocument.extended-properties+xml"/>
  <Override PartName="/word/footer2.xml" ContentType="application/vnd.openxmlformats-officedocument.wordprocessingml.footer+xml"/>
  <Default Extension="xml" ContentType="application/xml"/>
  <Default Extension="jpeg" ContentType="image/jpe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C67D76" w:rsidRDefault="00D0714D">
      <w:r>
        <w:rPr>
          <w:noProof/>
        </w:rPr>
        <w:drawing>
          <wp:anchor distT="0" distB="0" distL="118745" distR="118745" simplePos="0" relativeHeight="251658343" behindDoc="0" locked="0" layoutInCell="1" allowOverlap="1">
            <wp:simplePos x="0" y="0"/>
            <wp:positionH relativeFrom="page">
              <wp:posOffset>3959225</wp:posOffset>
            </wp:positionH>
            <wp:positionV relativeFrom="page">
              <wp:posOffset>863600</wp:posOffset>
            </wp:positionV>
            <wp:extent cx="3364865" cy="2234565"/>
            <wp:effectExtent l="25400" t="0" r="0" b="0"/>
            <wp:wrapTight wrapText="bothSides">
              <wp:wrapPolygon edited="0">
                <wp:start x="-163" y="0"/>
                <wp:lineTo x="-163" y="21361"/>
                <wp:lineTo x="21523" y="21361"/>
                <wp:lineTo x="21523" y="0"/>
                <wp:lineTo x="-163" y="0"/>
              </wp:wrapPolygon>
            </wp:wrapTight>
            <wp:docPr id="24" name="Placeholder" descr=":advantage brochure images:42-18138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dvantage brochure images:42-18138061.jpg"/>
                    <pic:cNvPicPr>
                      <a:picLocks noChangeAspect="1" noChangeArrowheads="1"/>
                    </pic:cNvPicPr>
                  </pic:nvPicPr>
                  <pic:blipFill>
                    <a:blip r:embed="rId5"/>
                    <a:stretch>
                      <a:fillRect/>
                    </a:stretch>
                  </pic:blipFill>
                  <pic:spPr bwMode="auto">
                    <a:xfrm>
                      <a:off x="0" y="0"/>
                      <a:ext cx="3364865" cy="2234565"/>
                    </a:xfrm>
                    <a:prstGeom prst="rect">
                      <a:avLst/>
                    </a:prstGeom>
                    <a:noFill/>
                    <a:ln w="9525">
                      <a:noFill/>
                      <a:miter lim="800000"/>
                      <a:headEnd/>
                      <a:tailEnd/>
                    </a:ln>
                  </pic:spPr>
                </pic:pic>
              </a:graphicData>
            </a:graphic>
          </wp:anchor>
        </w:drawing>
      </w:r>
      <w:r>
        <w:rPr>
          <w:noProof/>
        </w:rPr>
        <w:drawing>
          <wp:anchor distT="0" distB="0" distL="118745" distR="118745" simplePos="0" relativeHeight="251658342" behindDoc="0" locked="0" layoutInCell="1" allowOverlap="1">
            <wp:simplePos x="0" y="0"/>
            <wp:positionH relativeFrom="page">
              <wp:posOffset>444500</wp:posOffset>
            </wp:positionH>
            <wp:positionV relativeFrom="page">
              <wp:posOffset>3317875</wp:posOffset>
            </wp:positionV>
            <wp:extent cx="3365500" cy="2235200"/>
            <wp:effectExtent l="25400" t="0" r="0" b="0"/>
            <wp:wrapTight wrapText="bothSides">
              <wp:wrapPolygon edited="0">
                <wp:start x="-163" y="0"/>
                <wp:lineTo x="-163" y="21355"/>
                <wp:lineTo x="21518" y="21355"/>
                <wp:lineTo x="21518" y="0"/>
                <wp:lineTo x="-163" y="0"/>
              </wp:wrapPolygon>
            </wp:wrapTight>
            <wp:docPr id="193" name="Placeholder" descr=":advantage brochure images:42-1784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7840257.jpg"/>
                    <pic:cNvPicPr>
                      <a:picLocks noChangeAspect="1" noChangeArrowheads="1"/>
                    </pic:cNvPicPr>
                  </pic:nvPicPr>
                  <pic:blipFill>
                    <a:blip r:embed="rId6"/>
                    <a:stretch>
                      <a:fillRect/>
                    </a:stretch>
                  </pic:blipFill>
                  <pic:spPr bwMode="auto">
                    <a:xfrm>
                      <a:off x="0" y="0"/>
                      <a:ext cx="3365500" cy="2235200"/>
                    </a:xfrm>
                    <a:prstGeom prst="rect">
                      <a:avLst/>
                    </a:prstGeom>
                    <a:noFill/>
                    <a:ln w="9525">
                      <a:noFill/>
                      <a:miter lim="800000"/>
                      <a:headEnd/>
                      <a:tailEnd/>
                    </a:ln>
                  </pic:spPr>
                </pic:pic>
              </a:graphicData>
            </a:graphic>
          </wp:anchor>
        </w:drawing>
      </w:r>
      <w:r>
        <w:rPr>
          <w:noProof/>
        </w:rPr>
        <w:pict>
          <v:rect id="_x0000_s2253" style="position:absolute;margin-left:311pt;margin-top:261.25pt;width:265.75pt;height:217.5pt;z-index:251670645;mso-wrap-edited:f;mso-position-horizontal-relative:page;mso-position-vertical-relative:page" wrapcoords="-61 0 -61 21451 21661 21451 21661 0 -61 0" fillcolor="#996 [3207]" strokecolor="#4a7ebb" strokeweight="1.5pt">
            <v:fill o:detectmouseclick="t"/>
            <v:stroke opacity="0"/>
            <v:shadow opacity="22938f" mv:blur="38100f" offset="0,2pt"/>
            <v:textbox inset=",7.2pt,,7.2pt"/>
            <w10:wrap type="tight"/>
          </v:rect>
        </w:pict>
      </w:r>
      <w:r>
        <w:rPr>
          <w:noProof/>
        </w:rPr>
        <w:pict>
          <v:shapetype id="_x0000_t202" coordsize="21600,21600" o:spt="202" path="m0,0l0,21600,21600,21600,21600,0xe">
            <v:stroke joinstyle="miter"/>
            <v:path gradientshapeok="t" o:connecttype="rect"/>
          </v:shapetype>
          <v:shape id="_x0000_s2128" type="#_x0000_t202" style="position:absolute;margin-left:102.6pt;margin-top:572.5pt;width:406.75pt;height:54pt;z-index:251658289;mso-wrap-edited:f;mso-position-horizontal-relative:page;mso-position-vertical-relative:page" wrapcoords="0 0 21600 0 21600 21600 0 21600 0 0" filled="f" stroked="f">
            <v:fill o:detectmouseclick="t"/>
            <v:textbox style="mso-next-textbox:#_x0000_s2128" inset=",0,,0">
              <w:txbxContent>
                <w:p w:rsidR="0006605D" w:rsidRPr="00DA5309" w:rsidRDefault="00D0714D" w:rsidP="00DA5309">
                  <w:pPr>
                    <w:pStyle w:val="BlockHeading"/>
                    <w:jc w:val="center"/>
                    <w:rPr>
                      <w:rFonts w:ascii="Adobe Garamond Pro" w:hAnsi="Adobe Garamond Pro"/>
                      <w:sz w:val="40"/>
                    </w:rPr>
                  </w:pPr>
                  <w:r w:rsidRPr="00DA5309">
                    <w:rPr>
                      <w:rFonts w:ascii="Adobe Garamond Pro" w:hAnsi="Adobe Garamond Pro"/>
                      <w:sz w:val="40"/>
                    </w:rPr>
                    <w:t>Christian Microenterprise Development and Social Entrepre</w:t>
                  </w:r>
                  <w:r>
                    <w:rPr>
                      <w:rFonts w:ascii="Adobe Garamond Pro" w:hAnsi="Adobe Garamond Pro"/>
                      <w:sz w:val="40"/>
                    </w:rPr>
                    <w:t>ne</w:t>
                  </w:r>
                  <w:r w:rsidRPr="00DA5309">
                    <w:rPr>
                      <w:rFonts w:ascii="Adobe Garamond Pro" w:hAnsi="Adobe Garamond Pro"/>
                      <w:sz w:val="40"/>
                    </w:rPr>
                    <w:t>urship</w:t>
                  </w:r>
                </w:p>
              </w:txbxContent>
            </v:textbox>
            <w10:wrap type="tight" anchorx="page" anchory="page"/>
          </v:shape>
        </w:pict>
      </w:r>
      <w:r>
        <w:rPr>
          <w:noProof/>
        </w:rPr>
        <w:pict>
          <v:shape id="_x0000_s2129" type="#_x0000_t202" style="position:absolute;margin-left:102.6pt;margin-top:626.5pt;width:406.75pt;height:59pt;z-index:251658290;mso-wrap-edited:f;mso-position-horizontal-relative:page;mso-position-vertical-relative:page" wrapcoords="0 0 21600 0 21600 21600 0 21600 0 0" filled="f" stroked="f">
            <v:fill o:detectmouseclick="t"/>
            <v:textbox style="mso-next-textbox:#_x0000_s2129" inset=",0,,0">
              <w:txbxContent>
                <w:p w:rsidR="0006605D" w:rsidRPr="00DA5309" w:rsidRDefault="00D0714D" w:rsidP="00DA5309">
                  <w:pPr>
                    <w:pStyle w:val="Subtitle"/>
                    <w:jc w:val="center"/>
                    <w:rPr>
                      <w:rFonts w:ascii="Adobe Garamond Pro" w:hAnsi="Adobe Garamond Pro"/>
                    </w:rPr>
                  </w:pPr>
                  <w:r>
                    <w:rPr>
                      <w:rFonts w:ascii="Adobe Garamond Pro" w:hAnsi="Adobe Garamond Pro"/>
                    </w:rPr>
                    <w:t>E</w:t>
                  </w:r>
                  <w:r w:rsidRPr="00DA5309">
                    <w:rPr>
                      <w:rFonts w:ascii="Adobe Garamond Pro" w:hAnsi="Adobe Garamond Pro"/>
                    </w:rPr>
                    <w:t>mily Echevarria</w:t>
                  </w:r>
                </w:p>
                <w:p w:rsidR="0006605D" w:rsidRPr="00DA5309" w:rsidRDefault="00D0714D" w:rsidP="00DA5309">
                  <w:pPr>
                    <w:spacing w:after="0"/>
                    <w:jc w:val="center"/>
                    <w:rPr>
                      <w:rFonts w:ascii="Adobe Garamond Pro" w:hAnsi="Adobe Garamond Pro"/>
                      <w:color w:val="FFFFFF" w:themeColor="background1"/>
                    </w:rPr>
                  </w:pPr>
                  <w:r w:rsidRPr="00DA5309">
                    <w:rPr>
                      <w:rFonts w:ascii="Adobe Garamond Pro" w:hAnsi="Adobe Garamond Pro"/>
                      <w:color w:val="FFFFFF" w:themeColor="background1"/>
                    </w:rPr>
                    <w:t>TUL 560</w:t>
                  </w:r>
                </w:p>
                <w:p w:rsidR="0006605D" w:rsidRPr="00DA5309" w:rsidRDefault="00D0714D" w:rsidP="00DA5309">
                  <w:pPr>
                    <w:spacing w:after="0"/>
                    <w:jc w:val="center"/>
                    <w:rPr>
                      <w:color w:val="FFFFFF" w:themeColor="background1"/>
                    </w:rPr>
                  </w:pPr>
                  <w:r w:rsidRPr="00DA5309">
                    <w:rPr>
                      <w:rFonts w:ascii="Adobe Garamond Pro" w:hAnsi="Adobe Garamond Pro"/>
                      <w:color w:val="FFFFFF" w:themeColor="background1"/>
                    </w:rPr>
                    <w:t>Summer 2014</w:t>
                  </w:r>
                </w:p>
              </w:txbxContent>
            </v:textbox>
            <w10:wrap type="tight" anchorx="page" anchory="page"/>
          </v:shape>
        </w:pict>
      </w:r>
      <w:r>
        <w:rPr>
          <w:noProof/>
        </w:rPr>
        <w:pict>
          <v:shape id="_x0000_s2127" type="#_x0000_t202" style="position:absolute;margin-left:47pt;margin-top:90.95pt;width:244pt;height:140.05pt;z-index:251658288;mso-wrap-edited:f;mso-position-horizontal-relative:page;mso-position-vertical-relative:page" wrapcoords="0 0 21600 0 21600 21600 0 21600 0 0" filled="f" stroked="f">
            <v:fill o:detectmouseclick="t"/>
            <v:textbox style="mso-next-textbox:#_x0000_s2127" inset=",0,,0">
              <w:txbxContent>
                <w:p w:rsidR="0006605D" w:rsidRPr="00DA5309" w:rsidRDefault="00D0714D" w:rsidP="00C67D76">
                  <w:pPr>
                    <w:pStyle w:val="Title"/>
                    <w:rPr>
                      <w:rFonts w:ascii="Adobe Garamond Pro" w:hAnsi="Adobe Garamond Pro"/>
                      <w:sz w:val="48"/>
                    </w:rPr>
                  </w:pPr>
                </w:p>
              </w:txbxContent>
            </v:textbox>
            <w10:wrap type="tight" anchorx="page" anchory="page"/>
          </v:shape>
        </w:pict>
      </w:r>
      <w:r>
        <w:rPr>
          <w:noProof/>
        </w:rPr>
        <w:drawing>
          <wp:anchor distT="0" distB="0" distL="118745" distR="118745" simplePos="0" relativeHeight="251658341" behindDoc="0" locked="0" layoutInCell="1" allowOverlap="1">
            <wp:simplePos x="0" y="0"/>
            <wp:positionH relativeFrom="page">
              <wp:posOffset>3949700</wp:posOffset>
            </wp:positionH>
            <wp:positionV relativeFrom="page">
              <wp:posOffset>3321050</wp:posOffset>
            </wp:positionV>
            <wp:extent cx="3364865" cy="2743200"/>
            <wp:effectExtent l="25400" t="0" r="0" b="0"/>
            <wp:wrapTight wrapText="bothSides">
              <wp:wrapPolygon edited="0">
                <wp:start x="-163" y="0"/>
                <wp:lineTo x="-163" y="21400"/>
                <wp:lineTo x="21523" y="21400"/>
                <wp:lineTo x="21523" y="0"/>
                <wp:lineTo x="-163" y="0"/>
              </wp:wrapPolygon>
            </wp:wrapTight>
            <wp:docPr id="194" name="Placeholder" descr=":advantage brochure images:42-1692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6922719.jpg"/>
                    <pic:cNvPicPr>
                      <a:picLocks noChangeAspect="1" noChangeArrowheads="1"/>
                    </pic:cNvPicPr>
                  </pic:nvPicPr>
                  <pic:blipFill>
                    <a:blip r:embed="rId7"/>
                    <a:srcRect t="2702" r="31482"/>
                    <a:stretch>
                      <a:fillRect/>
                    </a:stretch>
                  </pic:blipFill>
                  <pic:spPr bwMode="auto">
                    <a:xfrm>
                      <a:off x="0" y="0"/>
                      <a:ext cx="3364865" cy="2743200"/>
                    </a:xfrm>
                    <a:prstGeom prst="rect">
                      <a:avLst/>
                    </a:prstGeom>
                    <a:noFill/>
                    <a:ln w="9525">
                      <a:noFill/>
                      <a:miter lim="800000"/>
                      <a:headEnd/>
                      <a:tailEnd/>
                    </a:ln>
                  </pic:spPr>
                </pic:pic>
              </a:graphicData>
            </a:graphic>
          </wp:anchor>
        </w:drawing>
      </w:r>
      <w:r>
        <w:rPr>
          <w:noProof/>
        </w:rPr>
        <w:pict>
          <v:rect id="_x0000_s2059" style="position:absolute;margin-left:36pt;margin-top:488pt;width:540pt;height:268pt;z-index:251658244;mso-wrap-edited:f;mso-position-horizontal-relative:page;mso-position-vertical-relative:page" wrapcoords="-59 -77 -59 21522 21659 21522 21659 -77 -59 -77" fillcolor="#669 [3206]" stroked="f" strokecolor="#4a7ebb" strokeweight="1.5pt">
            <v:fill o:detectmouseclick="t"/>
            <v:stroke o:forcedash="t"/>
            <v:shadow opacity="22938f" mv:blur="38100f" offset="0,2pt"/>
            <v:textbox inset="14.4pt,0,,7.2pt">
              <w:txbxContent>
                <w:p w:rsidR="0006605D" w:rsidRPr="009C07CB" w:rsidRDefault="00D0714D" w:rsidP="00C67D76">
                  <w:pPr>
                    <w:pStyle w:val="Symbol"/>
                    <w:rPr>
                      <w:color w:val="C1C1D6" w:themeColor="accent3" w:themeTint="66"/>
                      <w:sz w:val="120"/>
                    </w:rPr>
                  </w:pPr>
                  <w:r w:rsidRPr="009C07CB">
                    <w:rPr>
                      <w:color w:val="C1C1D6" w:themeColor="accent3" w:themeTint="66"/>
                      <w:sz w:val="120"/>
                    </w:rPr>
                    <w:t>+</w:t>
                  </w:r>
                </w:p>
              </w:txbxContent>
            </v:textbox>
            <w10:wrap anchorx="page" anchory="page"/>
          </v:rect>
        </w:pict>
      </w:r>
      <w:r>
        <w:rPr>
          <w:noProof/>
        </w:rPr>
        <w:pict>
          <v:rect id="_x0000_s2161" style="position:absolute;margin-left:36pt;margin-top:36pt;width:264.6pt;height:3in;z-index:251658240;mso-wrap-edited:f;mso-position-horizontal-relative:page;mso-position-vertical-relative:page" wrapcoords="-59 -77 -59 21522 21659 21522 21659 -77 -59 -77" o:regroupid="1" fillcolor="#636 [3204]" stroked="f" strokecolor="#4a7ebb" strokeweight="1.5pt">
            <v:fill o:detectmouseclick="t"/>
            <v:stroke o:forcedash="t"/>
            <v:shadow opacity="22938f" mv:blur="38100f" offset="0,2pt"/>
            <v:textbox style="mso-next-textbox:#_x0000_s2161" inset="14.4pt,7.2pt,,7.2pt">
              <w:txbxContent>
                <w:p w:rsidR="0006605D" w:rsidRPr="009C07CB" w:rsidRDefault="00D0714D" w:rsidP="00C67D76">
                  <w:pPr>
                    <w:pStyle w:val="Symbol"/>
                    <w:rPr>
                      <w:color w:val="CF9FCF" w:themeColor="accent1" w:themeTint="66"/>
                    </w:rPr>
                  </w:pPr>
                  <w:r w:rsidRPr="009C07CB">
                    <w:rPr>
                      <w:color w:val="CF9FCF" w:themeColor="accent1" w:themeTint="66"/>
                    </w:rPr>
                    <w:t>+</w:t>
                  </w:r>
                </w:p>
              </w:txbxContent>
            </v:textbox>
            <w10:wrap anchorx="page" anchory="page"/>
          </v:rect>
        </w:pict>
      </w:r>
      <w:r>
        <w:br w:type="page"/>
      </w:r>
      <w:r>
        <w:rPr>
          <w:noProof/>
        </w:rPr>
        <w:pict>
          <v:rect id="_x0000_s2249" style="position:absolute;margin-left:36pt;margin-top:175pt;width:146pt;height:125.95pt;z-index:251667573;mso-wrap-edited:f;mso-position-horizontal-relative:page;mso-position-vertical-relative:page" wrapcoords="-110 0 -110 21354 21710 21354 21710 0 -110 0" fillcolor="#c3afcc [3214]" strokecolor="#4a7ebb" strokeweight="1.5pt">
            <v:fill o:detectmouseclick="t"/>
            <v:stroke opacity="0"/>
            <v:shadow opacity="22938f" mv:blur="38100f" offset="0,2pt"/>
            <v:textbox inset=",7.2pt,,7.2pt"/>
            <w10:wrap type="tight"/>
          </v:rect>
        </w:pict>
      </w:r>
      <w:r>
        <w:rPr>
          <w:noProof/>
        </w:rPr>
        <w:pict>
          <v:rect id="_x0000_s2075" style="position:absolute;margin-left:35.25pt;margin-top:34.25pt;width:147.5pt;height:127.45pt;z-index:251658248;mso-wrap-edited:f;mso-position-horizontal-relative:page;mso-position-vertical-relative:page" wrapcoords="-59 -77 -59 21522 21659 21522 21659 -77 -59 -77" fillcolor="#636 [3204]" stroked="f" strokecolor="#4a7ebb" strokeweight="1.5pt">
            <v:fill o:detectmouseclick="t"/>
            <v:shadow opacity="22938f" mv:blur="38100f" offset="0,2pt"/>
            <v:textbox inset=",7.2pt,,7.2pt"/>
            <w10:wrap type="tight" anchorx="page" anchory="page"/>
          </v:rect>
        </w:pict>
      </w:r>
      <w:r>
        <w:rPr>
          <w:noProof/>
        </w:rPr>
        <w:pict>
          <v:rect id="_x0000_s2076" style="position:absolute;margin-left:222pt;margin-top:34.25pt;width:145pt;height:127.45pt;z-index:251658249;mso-wrap-edited:f;mso-position-horizontal-relative:page;mso-position-vertical-relative:page" wrapcoords="-59 -77 -59 21522 21659 21522 21659 -77 -59 -77" fillcolor="#996 [3207]" stroked="f" strokecolor="#4a7ebb" strokeweight="1.5pt">
            <v:fill o:detectmouseclick="t"/>
            <v:shadow opacity="22938f" mv:blur="38100f" offset="0,2pt"/>
            <v:textbox inset=",7.2pt,,7.2pt"/>
            <w10:wrap type="tight" anchorx="page" anchory="page"/>
          </v:rect>
        </w:pict>
      </w:r>
      <w:r>
        <w:rPr>
          <w:noProof/>
        </w:rPr>
        <w:pict>
          <v:rect id="_x0000_s2078" style="position:absolute;margin-left:222pt;margin-top:174.25pt;width:145pt;height:127.45pt;z-index:251658251;mso-wrap-edited:f;mso-position-horizontal-relative:page;mso-position-vertical-relative:page" wrapcoords="-59 -77 -59 21522 21659 21522 21659 -77 -59 -77" fillcolor="#669 [3206]" stroked="f" strokecolor="#669 [3206]" strokeweight="1.5pt">
            <v:fill o:detectmouseclick="t"/>
            <v:shadow opacity="22938f" mv:blur="38100f" offset="0,2pt"/>
            <v:textbox inset=",7.2pt,,7.2pt"/>
            <w10:wrap type="tight" anchorx="page" anchory="page"/>
          </v:rect>
        </w:pict>
      </w:r>
      <w:r>
        <w:rPr>
          <w:noProof/>
        </w:rPr>
        <w:drawing>
          <wp:anchor distT="0" distB="0" distL="118745" distR="118745" simplePos="0" relativeHeight="251658344" behindDoc="0" locked="0" layoutInCell="1" allowOverlap="1">
            <wp:simplePos x="0" y="0"/>
            <wp:positionH relativeFrom="page">
              <wp:posOffset>5092700</wp:posOffset>
            </wp:positionH>
            <wp:positionV relativeFrom="page">
              <wp:posOffset>447675</wp:posOffset>
            </wp:positionV>
            <wp:extent cx="2235200" cy="3373755"/>
            <wp:effectExtent l="25400" t="0" r="0" b="0"/>
            <wp:wrapTight wrapText="bothSides">
              <wp:wrapPolygon edited="0">
                <wp:start x="-245" y="0"/>
                <wp:lineTo x="-245" y="21466"/>
                <wp:lineTo x="21600" y="21466"/>
                <wp:lineTo x="21600" y="0"/>
                <wp:lineTo x="-245" y="0"/>
              </wp:wrapPolygon>
            </wp:wrapTight>
            <wp:docPr id="198" name="Placeholder" descr=":advantage brochure images:42-16044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6044085.jpg"/>
                    <pic:cNvPicPr>
                      <a:picLocks noChangeAspect="1" noChangeArrowheads="1"/>
                    </pic:cNvPicPr>
                  </pic:nvPicPr>
                  <pic:blipFill>
                    <a:blip r:embed="rId8"/>
                    <a:stretch>
                      <a:fillRect/>
                    </a:stretch>
                  </pic:blipFill>
                  <pic:spPr bwMode="auto">
                    <a:xfrm>
                      <a:off x="0" y="0"/>
                      <a:ext cx="2235200" cy="3373755"/>
                    </a:xfrm>
                    <a:prstGeom prst="rect">
                      <a:avLst/>
                    </a:prstGeom>
                    <a:noFill/>
                    <a:ln w="9525">
                      <a:noFill/>
                      <a:miter lim="800000"/>
                      <a:headEnd/>
                      <a:tailEnd/>
                    </a:ln>
                  </pic:spPr>
                </pic:pic>
              </a:graphicData>
            </a:graphic>
          </wp:anchor>
        </w:drawing>
      </w:r>
      <w:r>
        <w:rPr>
          <w:noProof/>
        </w:rPr>
        <w:pict>
          <v:shape id="_x0000_s2134" type="#_x0000_t202" style="position:absolute;margin-left:301.7pt;margin-top:455pt;width:274.3pt;height:301pt;z-index:251658294;mso-wrap-edited:f;mso-position-horizontal-relative:page;mso-position-vertical-relative:page" wrapcoords="0 0 21600 0 21600 21600 0 21600 0 0" mv:complextextbox="1" filled="f" stroked="f">
            <v:fill o:detectmouseclick="t"/>
            <v:textbox style="mso-next-textbox:#_x0000_s2134" inset="0,0,0,0">
              <w:txbxContent/>
            </v:textbox>
            <w10:wrap type="tight" anchorx="page" anchory="page"/>
          </v:shape>
        </w:pict>
      </w:r>
      <w:r>
        <w:rPr>
          <w:noProof/>
        </w:rPr>
        <w:pict>
          <v:shape id="_x0000_s2132" type="#_x0000_t202" style="position:absolute;margin-left:36pt;margin-top:455pt;width:265.7pt;height:301pt;z-index:251658293;mso-wrap-edited:f;mso-position-horizontal-relative:page;mso-position-vertical-relative:page" wrapcoords="0 0 21600 0 21600 21600 0 21600 0 0" mv:complextextbox="1" filled="f" stroked="f">
            <v:fill o:detectmouseclick="t"/>
            <v:textbox style="mso-next-textbox:#_x0000_s2134" inset="0,0,0,0">
              <w:txbxContent>
                <w:p w:rsidR="0006605D" w:rsidRDefault="00D0714D" w:rsidP="00DA5309">
                  <w:pPr>
                    <w:pStyle w:val="BodyText"/>
                    <w:spacing w:after="0" w:line="240" w:lineRule="auto"/>
                    <w:rPr>
                      <w:rFonts w:ascii="Adobe Garamond Pro" w:hAnsi="Adobe Garamond Pro"/>
                      <w:sz w:val="24"/>
                    </w:rPr>
                  </w:pPr>
                  <w:r>
                    <w:rPr>
                      <w:rFonts w:ascii="Adobe Garamond Pro" w:hAnsi="Adobe Garamond Pro"/>
                      <w:sz w:val="24"/>
                    </w:rPr>
                    <w:t>Christian Microenterprise is a holistic, in</w:t>
                  </w:r>
                  <w:r>
                    <w:rPr>
                      <w:rFonts w:ascii="Adobe Garamond Pro" w:hAnsi="Adobe Garamond Pro"/>
                      <w:sz w:val="24"/>
                    </w:rPr>
                    <w:t xml:space="preserve">tegrated approached to microenterprise.  As defined by Bussau and Mask in their book </w:t>
                  </w:r>
                  <w:r>
                    <w:rPr>
                      <w:rFonts w:ascii="Adobe Garamond Pro" w:hAnsi="Adobe Garamond Pro"/>
                      <w:i/>
                      <w:sz w:val="24"/>
                    </w:rPr>
                    <w:t>Christian Microenterprise Development: An Introduction</w:t>
                  </w:r>
                  <w:r>
                    <w:rPr>
                      <w:rFonts w:ascii="Adobe Garamond Pro" w:hAnsi="Adobe Garamond Pro"/>
                      <w:sz w:val="24"/>
                    </w:rPr>
                    <w:t>, Microenterprise Development is “a development strategy that provides a broad package of financial services… as well</w:t>
                  </w:r>
                  <w:r>
                    <w:rPr>
                      <w:rFonts w:ascii="Adobe Garamond Pro" w:hAnsi="Adobe Garamond Pro"/>
                      <w:sz w:val="24"/>
                    </w:rPr>
                    <w:t xml:space="preserve"> as other business development services… to entrepreneurs and the poor to enable them to operate their own productive economic activities” (Bussau 2).  By getting capital and education into the hands of the entrepreneurial poor, CMED hopes to catalyze econ</w:t>
                  </w:r>
                  <w:r>
                    <w:rPr>
                      <w:rFonts w:ascii="Adobe Garamond Pro" w:hAnsi="Adobe Garamond Pro"/>
                      <w:sz w:val="24"/>
                    </w:rPr>
                    <w:t xml:space="preserve">omic uplift and empowerment among the poor as part of the biblical mandate to disciple the nations. </w:t>
                  </w:r>
                </w:p>
                <w:p w:rsidR="0006605D" w:rsidRPr="00DA5309" w:rsidRDefault="00D0714D" w:rsidP="00DA5309">
                  <w:pPr>
                    <w:pStyle w:val="BodyText"/>
                    <w:spacing w:after="0" w:line="240" w:lineRule="auto"/>
                    <w:rPr>
                      <w:rFonts w:ascii="Adobe Garamond Pro" w:hAnsi="Adobe Garamond Pro"/>
                      <w:sz w:val="24"/>
                    </w:rPr>
                  </w:pPr>
                  <w:r>
                    <w:rPr>
                      <w:rFonts w:ascii="Adobe Garamond Pro" w:hAnsi="Adobe Garamond Pro"/>
                      <w:sz w:val="24"/>
                    </w:rPr>
                    <w:tab/>
                    <w:t>In recent years, different Christian organizations have found that Microenterprise Development can be an effective and accessible way to find entry into c</w:t>
                  </w:r>
                  <w:r>
                    <w:rPr>
                      <w:rFonts w:ascii="Adobe Garamond Pro" w:hAnsi="Adobe Garamond Pro"/>
                      <w:sz w:val="24"/>
                    </w:rPr>
                    <w:t>ountries that are closed to traditional Christian mission strategies (Bussau 3).  This is true in India, a country where anyone entering the country must sign a form saying they will not evangelize while there.  Shikhar Microfinance Pvt. Ltd. is a Microfin</w:t>
                  </w:r>
                  <w:r>
                    <w:rPr>
                      <w:rFonts w:ascii="Adobe Garamond Pro" w:hAnsi="Adobe Garamond Pro"/>
                      <w:sz w:val="24"/>
                    </w:rPr>
                    <w:t>ance Institution (MFI) that operates based off of core biblical principles in the hope of spreading the fragrance of Christ.  At the center of their operations lie the principles of integrity, credibility, excellence, fairness, enterprising, stewardship, a</w:t>
                  </w:r>
                  <w:r>
                    <w:rPr>
                      <w:rFonts w:ascii="Adobe Garamond Pro" w:hAnsi="Adobe Garamond Pro"/>
                      <w:sz w:val="24"/>
                    </w:rPr>
                    <w:t>nd transparency.  While they are based on Christian principles and all the executive leadership is a follower of Jesus, they have chosen to not explicitly evangelize amongst their clients.  Rather, they hope that the work they do and the way they do it pla</w:t>
                  </w:r>
                  <w:r>
                    <w:rPr>
                      <w:rFonts w:ascii="Adobe Garamond Pro" w:hAnsi="Adobe Garamond Pro"/>
                      <w:sz w:val="24"/>
                    </w:rPr>
                    <w:t>nt the seeds of Christ’s transformation.  In India, registering as a Christian ministry could seriously limit Shikhar’s opportunities for effective work.  A member of Shikhar’s leadership explained that in order to do they best work they can, and to make t</w:t>
                  </w:r>
                  <w:r>
                    <w:rPr>
                      <w:rFonts w:ascii="Adobe Garamond Pro" w:hAnsi="Adobe Garamond Pro"/>
                      <w:sz w:val="24"/>
                    </w:rPr>
                    <w:t xml:space="preserve">he most positive Kingdom impact, they are registered as a secular Non-Banking Financial Institution, but that they operate in accordance with biblical principles.  This becomes a point for debate as one reflects on Romans 10:14, which says, “How then will </w:t>
                  </w:r>
                  <w:r>
                    <w:rPr>
                      <w:rFonts w:ascii="Adobe Garamond Pro" w:hAnsi="Adobe Garamond Pro"/>
                      <w:sz w:val="24"/>
                    </w:rPr>
                    <w:t xml:space="preserve">they call on him in whom they have not believed?  And how are they to believe in him of whom </w:t>
                  </w:r>
                </w:p>
              </w:txbxContent>
            </v:textbox>
            <w10:wrap type="tight" anchorx="page" anchory="page"/>
          </v:shape>
        </w:pict>
      </w:r>
      <w:r>
        <w:rPr>
          <w:noProof/>
        </w:rPr>
        <w:pict>
          <v:shape id="_x0000_s2135" type="#_x0000_t202" style="position:absolute;margin-left:157pt;margin-top:328pt;width:2in;height:36pt;z-index:251658295;mso-wrap-edited:f;mso-position-horizontal-relative:page;mso-position-vertical-relative:page" wrapcoords="0 0 21600 0 21600 21600 0 21600 0 0" filled="f" stroked="f">
            <v:fill o:detectmouseclick="t"/>
            <v:stroke o:forcedash="t"/>
            <v:textbox style="mso-next-textbox:#_x0000_s2135" inset="0,0,0,0">
              <w:txbxContent>
                <w:p w:rsidR="0006605D" w:rsidRPr="009C07CB" w:rsidRDefault="00D0714D" w:rsidP="00C67D76">
                  <w:pPr>
                    <w:pStyle w:val="Symbol"/>
                    <w:rPr>
                      <w:color w:val="CF9FCF" w:themeColor="accent1" w:themeTint="66"/>
                    </w:rPr>
                  </w:pPr>
                  <w:r w:rsidRPr="009C07CB">
                    <w:rPr>
                      <w:color w:val="CF9FCF" w:themeColor="accent1" w:themeTint="66"/>
                    </w:rPr>
                    <w:t>+</w:t>
                  </w:r>
                </w:p>
              </w:txbxContent>
            </v:textbox>
            <w10:wrap anchorx="page" anchory="page"/>
          </v:shape>
        </w:pict>
      </w:r>
      <w:r>
        <w:rPr>
          <w:noProof/>
        </w:rPr>
        <w:pict>
          <v:shape id="_x0000_s2130" type="#_x0000_t202" style="position:absolute;margin-left:174.25pt;margin-top:363.5pt;width:401.75pt;height:45pt;z-index:251658291;mso-wrap-edited:f;mso-position-horizontal-relative:page;mso-position-vertical-relative:page" wrapcoords="0 0 21600 0 21600 21600 0 21600 0 0" filled="f" stroked="f">
            <v:fill o:detectmouseclick="t"/>
            <v:textbox style="mso-next-textbox:#_x0000_s2130" inset="3.6pt,0,3.6pt,0">
              <w:txbxContent>
                <w:p w:rsidR="0006605D" w:rsidRPr="00DA5309" w:rsidRDefault="00D0714D" w:rsidP="00C67D76">
                  <w:pPr>
                    <w:pStyle w:val="Heading1"/>
                    <w:rPr>
                      <w:rFonts w:ascii="Adobe Garamond Pro" w:hAnsi="Adobe Garamond Pro"/>
                    </w:rPr>
                  </w:pPr>
                  <w:r>
                    <w:rPr>
                      <w:rFonts w:ascii="Adobe Garamond Pro" w:hAnsi="Adobe Garamond Pro"/>
                    </w:rPr>
                    <w:t>Christian MED</w:t>
                  </w:r>
                </w:p>
              </w:txbxContent>
            </v:textbox>
            <w10:wrap type="tight" anchorx="page" anchory="page"/>
          </v:shape>
        </w:pict>
      </w:r>
      <w:r>
        <w:rPr>
          <w:noProof/>
        </w:rPr>
        <w:pict>
          <v:shape id="_x0000_s2131" type="#_x0000_t202" style="position:absolute;margin-left:174.25pt;margin-top:408.5pt;width:401.75pt;height:35pt;z-index:251658292;mso-wrap-edited:f;mso-position-horizontal-relative:page;mso-position-vertical-relative:page" wrapcoords="0 0 21600 0 21600 21600 0 21600 0 0" filled="f" stroked="f">
            <v:fill o:detectmouseclick="t"/>
            <v:textbox style="mso-next-textbox:#_x0000_s2131" inset="3.6pt,0,3.6pt,0">
              <w:txbxContent>
                <w:p w:rsidR="0006605D" w:rsidRPr="00DA5309" w:rsidRDefault="00D0714D" w:rsidP="00C67D76">
                  <w:pPr>
                    <w:pStyle w:val="Heading2"/>
                    <w:rPr>
                      <w:rFonts w:ascii="Adobe Garamond Pro" w:hAnsi="Adobe Garamond Pro"/>
                    </w:rPr>
                  </w:pPr>
                  <w:r>
                    <w:rPr>
                      <w:rFonts w:ascii="Adobe Garamond Pro" w:hAnsi="Adobe Garamond Pro"/>
                    </w:rPr>
                    <w:t>What is it?</w:t>
                  </w:r>
                </w:p>
              </w:txbxContent>
            </v:textbox>
            <w10:wrap type="tight" anchorx="page" anchory="page"/>
          </v:shape>
        </w:pict>
      </w:r>
      <w:r>
        <w:br w:type="page"/>
      </w:r>
      <w:r>
        <w:rPr>
          <w:noProof/>
        </w:rPr>
        <w:pict>
          <v:rect id="_x0000_s2250" style="position:absolute;margin-left:36.75pt;margin-top:128pt;width:411.05pt;height:35.45pt;z-index:251668597;mso-wrap-edited:f;mso-position-horizontal-relative:page;mso-position-vertical-relative:page" wrapcoords="-41 0 -41 20160 21641 20160 21641 0 -41 0" fillcolor="#c3afcc [3214]" strokecolor="#4a7ebb" strokeweight="1.5pt">
            <v:fill o:detectmouseclick="t"/>
            <v:stroke opacity="0"/>
            <v:shadow opacity="22938f" mv:blur="38100f" offset="0,2pt"/>
            <v:textbox inset=",7.2pt,,7.2pt"/>
            <w10:wrap type="tight"/>
          </v:rect>
        </w:pict>
      </w:r>
      <w:r>
        <w:rPr>
          <w:noProof/>
        </w:rPr>
        <w:pict>
          <v:shape id="_x0000_s2136" type="#_x0000_t202" style="position:absolute;margin-left:36pt;margin-top:36pt;width:401.75pt;height:134pt;z-index:251658296;mso-wrap-edited:f;mso-position-horizontal-relative:page;mso-position-vertical-relative:page" wrapcoords="0 0 21600 0 21600 21600 0 21600 0 0" filled="f" stroked="f">
            <v:fill o:detectmouseclick="t"/>
            <v:textbox style="mso-next-textbox:#_x0000_s2136" inset="3.6pt,0,3.6pt,0">
              <w:txbxContent>
                <w:p w:rsidR="0006605D" w:rsidRDefault="00D0714D" w:rsidP="00C67D76">
                  <w:pPr>
                    <w:pStyle w:val="Heading2"/>
                    <w:rPr>
                      <w:sz w:val="40"/>
                    </w:rPr>
                  </w:pPr>
                  <w:r w:rsidRPr="000303BA">
                    <w:rPr>
                      <w:sz w:val="40"/>
                    </w:rPr>
                    <w:t>“</w:t>
                  </w:r>
                  <w:r w:rsidRPr="000303BA">
                    <w:rPr>
                      <w:sz w:val="40"/>
                    </w:rPr>
                    <w:t>Empower communities by providing financial and livelihood services</w:t>
                  </w:r>
                  <w:r>
                    <w:rPr>
                      <w:sz w:val="40"/>
                    </w:rPr>
                    <w:t>.”</w:t>
                  </w:r>
                </w:p>
                <w:p w:rsidR="0006605D" w:rsidRPr="000303BA" w:rsidRDefault="00D0714D" w:rsidP="000303BA">
                  <w:pPr>
                    <w:rPr>
                      <w:color w:val="666699" w:themeColor="accent3"/>
                    </w:rPr>
                  </w:pPr>
                  <w:r w:rsidRPr="000303BA">
                    <w:rPr>
                      <w:color w:val="666699" w:themeColor="accent3"/>
                    </w:rPr>
                    <w:tab/>
                  </w:r>
                  <w:r w:rsidRPr="000303BA">
                    <w:rPr>
                      <w:color w:val="666699" w:themeColor="accent3"/>
                    </w:rPr>
                    <w:tab/>
                  </w:r>
                  <w:r w:rsidRPr="000303BA">
                    <w:rPr>
                      <w:color w:val="666699" w:themeColor="accent3"/>
                    </w:rPr>
                    <w:tab/>
                  </w:r>
                  <w:r w:rsidRPr="000303BA">
                    <w:rPr>
                      <w:color w:val="666699" w:themeColor="accent3"/>
                    </w:rPr>
                    <w:tab/>
                    <w:t>-Shikhar Microfinance’s Vision Statement</w:t>
                  </w:r>
                </w:p>
              </w:txbxContent>
            </v:textbox>
            <w10:wrap type="tight" anchorx="page" anchory="page"/>
          </v:shape>
        </w:pict>
      </w:r>
      <w:r>
        <w:rPr>
          <w:noProof/>
        </w:rPr>
        <w:pict>
          <v:shape id="_x0000_s2138" type="#_x0000_t202" style="position:absolute;margin-left:306pt;margin-top:187.2pt;width:270pt;height:568.8pt;z-index:251658298;mso-wrap-edited:f;mso-position-horizontal-relative:page;mso-position-vertical-relative:page" wrapcoords="0 0 21600 0 21600 21600 0 21600 0 0" mv:complextextbox="1" filled="f" stroked="f">
            <v:fill o:detectmouseclick="t"/>
            <v:textbox style="mso-next-textbox:#_x0000_s2138" inset="0,0,0,0">
              <w:txbxContent/>
            </v:textbox>
            <w10:wrap type="tight" anchorx="page" anchory="page"/>
          </v:shape>
        </w:pict>
      </w:r>
      <w:r>
        <w:rPr>
          <w:noProof/>
        </w:rPr>
        <w:pict>
          <v:group id="_x0000_s2254" style="position:absolute;margin-left:36pt;margin-top:187pt;width:270pt;height:569pt;z-index:251658297;mso-position-horizontal-relative:page;mso-position-vertical-relative:page" coordsize="20000,20000" wrapcoords="0 0 21600 0 21600 21600 0 21600 0 0" mv:complextextbox="1">
            <o:lock v:ext="edit" ungrouping="t"/>
            <v:shape id="_x0000_s2255" type="#_x0000_t202" style="position:absolute;width:20000;height:20000;mso-wrap-edited:f;mso-position-horizontal-relative:page;mso-position-vertical-relative:page" wrapcoords="0 0 21600 0 21600 21600 0 21600 0 0" mv:complextextbox="1" filled="f" stroked="f">
              <v:fill o:detectmouseclick="t"/>
              <v:textbox style="mso-next-textbox:#_x0000_s2138" inset="0,0,0,0"/>
            </v:shape>
            <v:shape id="_x0000_s2256" type="#_x0000_t202" style="position:absolute;width:19333;height:508" filled="f" stroked="f">
              <v:textbox style="mso-next-textbox:#_x0000_s2257" inset="0,0,0,0">
                <w:txbxContent>
                  <w:p w:rsidR="0006605D" w:rsidRDefault="00D0714D" w:rsidP="000C1AE5">
                    <w:pPr>
                      <w:pStyle w:val="BodyText"/>
                      <w:spacing w:line="240" w:lineRule="auto"/>
                      <w:rPr>
                        <w:rFonts w:ascii="Adobe Garamond Pro" w:hAnsi="Adobe Garamond Pro"/>
                        <w:sz w:val="24"/>
                      </w:rPr>
                    </w:pPr>
                    <w:r w:rsidRPr="000C1AE5">
                      <w:rPr>
                        <w:rFonts w:ascii="Adobe Garamond Pro" w:hAnsi="Adobe Garamond Pro"/>
                        <w:sz w:val="24"/>
                      </w:rPr>
                      <w:t>they have never heard?  And how are they to hear without someone preaching?”  However, some would argue that they are maximizing their Kingdom impact by choosing to work in an approved manner within the system.</w:t>
                    </w:r>
                  </w:p>
                  <w:p w:rsidR="0006605D" w:rsidRDefault="00D0714D" w:rsidP="000C1AE5">
                    <w:pPr>
                      <w:pStyle w:val="BodyText"/>
                      <w:spacing w:line="240" w:lineRule="auto"/>
                      <w:rPr>
                        <w:rFonts w:ascii="Adobe Garamond Pro" w:hAnsi="Adobe Garamond Pro"/>
                        <w:sz w:val="24"/>
                      </w:rPr>
                    </w:pPr>
                    <w:r>
                      <w:rPr>
                        <w:rFonts w:ascii="Adobe Garamond Pro" w:hAnsi="Adobe Garamond Pro"/>
                        <w:sz w:val="24"/>
                      </w:rPr>
                      <w:tab/>
                      <w:t>Group-based lendi</w:t>
                    </w:r>
                    <w:r>
                      <w:rPr>
                        <w:rFonts w:ascii="Adobe Garamond Pro" w:hAnsi="Adobe Garamond Pro"/>
                        <w:sz w:val="24"/>
                      </w:rPr>
                      <w:t>ng, a popular method of microfinance lending, requires potential borrowers to select a group of people to back the loan along with them.  Since the poor often do not have financial assets to borrow against for security collateral, group-based lending insur</w:t>
                    </w:r>
                    <w:r>
                      <w:rPr>
                        <w:rFonts w:ascii="Adobe Garamond Pro" w:hAnsi="Adobe Garamond Pro"/>
                        <w:sz w:val="24"/>
                      </w:rPr>
                      <w:t>es repayment through a form of social collateral.  In this loan structure, the group as a whole holds responsibility for repaying the loan.  If any member of the group cannot afford to pay back their loan, the group is responsible to cover what the individ</w:t>
                    </w:r>
                    <w:r>
                      <w:rPr>
                        <w:rFonts w:ascii="Adobe Garamond Pro" w:hAnsi="Adobe Garamond Pro"/>
                        <w:sz w:val="24"/>
                      </w:rPr>
                      <w:t xml:space="preserve">ual cannot.  The logic is that the group will select responsible, trustworthy loan partners to avoid having to pay more for someone else’s mistake.  This also helps the MFI, reducing the likelihood of default on the loan.  </w:t>
                    </w:r>
                  </w:p>
                  <w:p w:rsidR="0006605D" w:rsidRDefault="00D0714D" w:rsidP="000C1AE5">
                    <w:pPr>
                      <w:pStyle w:val="BodyText"/>
                      <w:spacing w:line="240" w:lineRule="auto"/>
                      <w:rPr>
                        <w:rFonts w:ascii="Adobe Garamond Pro" w:hAnsi="Adobe Garamond Pro"/>
                        <w:sz w:val="24"/>
                      </w:rPr>
                    </w:pPr>
                    <w:r>
                      <w:rPr>
                        <w:rFonts w:ascii="Adobe Garamond Pro" w:hAnsi="Adobe Garamond Pro"/>
                        <w:sz w:val="24"/>
                      </w:rPr>
                      <w:tab/>
                      <w:t>Neetu in the Sahaita loan group</w:t>
                    </w:r>
                    <w:r>
                      <w:rPr>
                        <w:rFonts w:ascii="Adobe Garamond Pro" w:hAnsi="Adobe Garamond Pro"/>
                        <w:sz w:val="24"/>
                      </w:rPr>
                      <w:t xml:space="preserve"> in Badarpur, Haryana explains that the women in her group have all lived in the same neighborhood together for many years.  They are a community, and they know the character of the people who live there.  In choosing group members, they selected women the</w:t>
                    </w:r>
                    <w:r>
                      <w:rPr>
                        <w:rFonts w:ascii="Adobe Garamond Pro" w:hAnsi="Adobe Garamond Pro"/>
                        <w:sz w:val="24"/>
                      </w:rPr>
                      <w:t>y know would make a priority of paying back the loan.  They looked for members who would be faithful to come to the meetings and to pay back the loans on time.  Both the MFI and the borrowers take this collective responsibility very seriously.</w:t>
                    </w:r>
                  </w:p>
                  <w:p w:rsidR="0006605D" w:rsidRDefault="00D0714D" w:rsidP="000C1AE5">
                    <w:pPr>
                      <w:pStyle w:val="BodyText"/>
                      <w:spacing w:line="240" w:lineRule="auto"/>
                      <w:rPr>
                        <w:rFonts w:ascii="Adobe Garamond Pro" w:hAnsi="Adobe Garamond Pro"/>
                        <w:sz w:val="24"/>
                      </w:rPr>
                    </w:pPr>
                    <w:r>
                      <w:rPr>
                        <w:rFonts w:ascii="Adobe Garamond Pro" w:hAnsi="Adobe Garamond Pro"/>
                        <w:sz w:val="24"/>
                      </w:rPr>
                      <w:tab/>
                      <w:t>The Sahaita</w:t>
                    </w:r>
                    <w:r>
                      <w:rPr>
                        <w:rFonts w:ascii="Adobe Garamond Pro" w:hAnsi="Adobe Garamond Pro"/>
                        <w:sz w:val="24"/>
                      </w:rPr>
                      <w:t xml:space="preserve"> loan group in Badarpur, Haryana consists of nine women who have all taken loans from Shikhar Microfinance.  They have used their loans in a variety of ways, investing them in enterprises such as clothing manufacturing and juice stands.  When asked what th</w:t>
                    </w:r>
                    <w:r>
                      <w:rPr>
                        <w:rFonts w:ascii="Adobe Garamond Pro" w:hAnsi="Adobe Garamond Pro"/>
                        <w:sz w:val="24"/>
                      </w:rPr>
                      <w:t>ey liked most about the loans, the answer always involves the good loan interest rates and the payment installment plans.  To an outsider, this might seem shocking, as Shikhar requires an annual interest rate of 120%.  While significantly higher than the b</w:t>
                    </w:r>
                    <w:r>
                      <w:rPr>
                        <w:rFonts w:ascii="Adobe Garamond Pro" w:hAnsi="Adobe Garamond Pro"/>
                        <w:sz w:val="24"/>
                      </w:rPr>
                      <w:t>anks’ interest rates, these rates are much more affordable than the ones enforced by local moneylenders and loan sharks.  Hinduism’s teachings favor the creditor and do not discourage usury.  In fact, they sometimes even encourage it.  In a loan group in S</w:t>
                    </w:r>
                    <w:r>
                      <w:rPr>
                        <w:rFonts w:ascii="Adobe Garamond Pro" w:hAnsi="Adobe Garamond Pro"/>
                        <w:sz w:val="24"/>
                      </w:rPr>
                      <w:t>hadipur, Delhi, Muslemi spoke of loan alternatives.  She says that if it weren’t for these regulated loans from Shikhar, they could only take loans from neighbors or from moneylenders.  The problem in borrowing from neighbors is that they payout is never r</w:t>
                    </w:r>
                    <w:r>
                      <w:rPr>
                        <w:rFonts w:ascii="Adobe Garamond Pro" w:hAnsi="Adobe Garamond Pro"/>
                        <w:sz w:val="24"/>
                      </w:rPr>
                      <w:t>eliable, and failure in the transaction can lead to greater community problems.  Moneylenders charge usurious interest rates that leave entire communities endebted and in bondage.  It is important to realize that without these loans, women would probably n</w:t>
                    </w:r>
                    <w:r>
                      <w:rPr>
                        <w:rFonts w:ascii="Adobe Garamond Pro" w:hAnsi="Adobe Garamond Pro"/>
                        <w:sz w:val="24"/>
                      </w:rPr>
                      <w:t xml:space="preserve">ever have the opportunity to unlock and use their entrepreneurial potential that they have now proven through their established businesses.  </w:t>
                    </w:r>
                  </w:p>
                  <w:p w:rsidR="0006605D" w:rsidRDefault="00D0714D" w:rsidP="000C1AE5">
                    <w:pPr>
                      <w:pStyle w:val="BodyText"/>
                      <w:spacing w:line="240" w:lineRule="auto"/>
                      <w:rPr>
                        <w:rFonts w:ascii="Adobe Garamond Pro" w:hAnsi="Adobe Garamond Pro"/>
                        <w:sz w:val="24"/>
                      </w:rPr>
                    </w:pPr>
                    <w:r>
                      <w:rPr>
                        <w:rFonts w:ascii="Adobe Garamond Pro" w:hAnsi="Adobe Garamond Pro"/>
                        <w:sz w:val="24"/>
                      </w:rPr>
                      <w:tab/>
                      <w:t>The myth that microfinance is the ultimate solution to poverty hovers around the topic of Microenterprise Develop</w:t>
                    </w:r>
                    <w:r>
                      <w:rPr>
                        <w:rFonts w:ascii="Adobe Garamond Pro" w:hAnsi="Adobe Garamond Pro"/>
                        <w:sz w:val="24"/>
                      </w:rPr>
                      <w:t>ment.  Yes, MED can be a powerful tool to assist the poor in leveraging their assets and turning them into small profit.  And yes, this can result in the transformation of individual and family life.  However, considering MED as the cure-all remedy would b</w:t>
                    </w:r>
                    <w:r>
                      <w:rPr>
                        <w:rFonts w:ascii="Adobe Garamond Pro" w:hAnsi="Adobe Garamond Pro"/>
                        <w:sz w:val="24"/>
                      </w:rPr>
                      <w:t xml:space="preserve">e a grave mistake.  It can be a powerful tool for the alleviation of poverty, but probably not the eradication of poverty.  In their book, </w:t>
                    </w:r>
                    <w:r>
                      <w:rPr>
                        <w:rFonts w:ascii="Adobe Garamond Pro" w:hAnsi="Adobe Garamond Pro"/>
                        <w:i/>
                        <w:sz w:val="24"/>
                      </w:rPr>
                      <w:t>The Poor Will Be Glad</w:t>
                    </w:r>
                    <w:r>
                      <w:rPr>
                        <w:rFonts w:ascii="Adobe Garamond Pro" w:hAnsi="Adobe Garamond Pro"/>
                        <w:sz w:val="24"/>
                      </w:rPr>
                      <w:t>, Greer and Smith provide this perspective, “Would a 100 percent increase in an income of $1 per</w:t>
                    </w:r>
                    <w:r>
                      <w:rPr>
                        <w:rFonts w:ascii="Adobe Garamond Pro" w:hAnsi="Adobe Garamond Pro"/>
                        <w:sz w:val="24"/>
                      </w:rPr>
                      <w:t xml:space="preserve"> day </w:t>
                    </w:r>
                    <w:r>
                      <w:rPr>
                        <w:rFonts w:ascii="Adobe Garamond Pro" w:hAnsi="Adobe Garamond Pro"/>
                        <w:i/>
                        <w:sz w:val="24"/>
                      </w:rPr>
                      <w:t>eradicate</w:t>
                    </w:r>
                    <w:r>
                      <w:rPr>
                        <w:rFonts w:ascii="Adobe Garamond Pro" w:hAnsi="Adobe Garamond Pro"/>
                        <w:sz w:val="24"/>
                      </w:rPr>
                      <w:t xml:space="preserve"> a family’s poverty?  Or would even a 500 percent increase?  No, but it would </w:t>
                    </w:r>
                    <w:r>
                      <w:rPr>
                        <w:rFonts w:ascii="Adobe Garamond Pro" w:hAnsi="Adobe Garamond Pro"/>
                        <w:i/>
                        <w:sz w:val="24"/>
                      </w:rPr>
                      <w:t>alleviate</w:t>
                    </w:r>
                    <w:r>
                      <w:rPr>
                        <w:rFonts w:ascii="Adobe Garamond Pro" w:hAnsi="Adobe Garamond Pro"/>
                        <w:sz w:val="24"/>
                      </w:rPr>
                      <w:t xml:space="preserve"> their poverty and make their lives much better” (Greer and Smith, 117).  </w:t>
                    </w:r>
                  </w:p>
                  <w:p w:rsidR="0006605D" w:rsidRPr="00FD031B" w:rsidRDefault="00D0714D" w:rsidP="000C1AE5">
                    <w:pPr>
                      <w:pStyle w:val="BodyText"/>
                      <w:spacing w:line="240" w:lineRule="auto"/>
                      <w:rPr>
                        <w:rFonts w:ascii="Adobe Garamond Pro" w:hAnsi="Adobe Garamond Pro"/>
                        <w:sz w:val="24"/>
                      </w:rPr>
                    </w:pPr>
                    <w:r>
                      <w:rPr>
                        <w:rFonts w:ascii="Adobe Garamond Pro" w:hAnsi="Adobe Garamond Pro"/>
                        <w:sz w:val="24"/>
                      </w:rPr>
                      <w:tab/>
                      <w:t xml:space="preserve">The women of the Balaji loan group in Badarpur are by no means out of poverty. </w:t>
                    </w:r>
                    <w:r>
                      <w:rPr>
                        <w:rFonts w:ascii="Adobe Garamond Pro" w:hAnsi="Adobe Garamond Pro"/>
                        <w:sz w:val="24"/>
                      </w:rPr>
                      <w:t xml:space="preserve"> They still budget tightly in order to provide for their families, and live in less than</w:t>
                    </w:r>
                  </w:p>
                </w:txbxContent>
              </v:textbox>
            </v:shape>
            <v:shape id="_x0000_s2257" type="#_x0000_t202" style="position:absolute;top:506;width:19333;height:508" filled="f" stroked="f">
              <v:textbox style="mso-next-textbox:#_x0000_s2258" inset="0,0,0,0">
                <w:txbxContent/>
              </v:textbox>
            </v:shape>
            <v:shape id="_x0000_s2258" type="#_x0000_t202" style="position:absolute;top:1012;width:19333;height:508" filled="f" stroked="f">
              <v:textbox style="mso-next-textbox:#_x0000_s2259" inset="0,0,0,0">
                <w:txbxContent/>
              </v:textbox>
            </v:shape>
            <v:shape id="_x0000_s2259" type="#_x0000_t202" style="position:absolute;top:1518;width:19333;height:508" filled="f" stroked="f">
              <v:textbox style="mso-next-textbox:#_x0000_s2260" inset="0,0,0,0">
                <w:txbxContent/>
              </v:textbox>
            </v:shape>
            <v:shape id="_x0000_s2260" type="#_x0000_t202" style="position:absolute;top:2025;width:19333;height:824" filled="f" stroked="f">
              <v:textbox style="mso-next-textbox:#_x0000_s2261" inset="0,0,0,0">
                <w:txbxContent/>
              </v:textbox>
            </v:shape>
            <v:shape id="_x0000_s2261" type="#_x0000_t202" style="position:absolute;top:2847;width:19333;height:508" filled="f" stroked="f">
              <v:textbox style="mso-next-textbox:#_x0000_s2262" inset="0,0,0,0">
                <w:txbxContent/>
              </v:textbox>
            </v:shape>
            <v:shape id="_x0000_s2262" type="#_x0000_t202" style="position:absolute;top:3353;width:19333;height:508" filled="f" stroked="f">
              <v:textbox style="mso-next-textbox:#_x0000_s2263" inset="0,0,0,0">
                <w:txbxContent/>
              </v:textbox>
            </v:shape>
            <v:shape id="_x0000_s2263" type="#_x0000_t202" style="position:absolute;top:3859;width:19333;height:508" filled="f" stroked="f">
              <v:textbox style="mso-next-textbox:#_x0000_s2264" inset="0,0,0,0">
                <w:txbxContent/>
              </v:textbox>
            </v:shape>
            <v:shape id="_x0000_s2264" type="#_x0000_t202" style="position:absolute;top:4366;width:19333;height:507" filled="f" stroked="f">
              <v:textbox style="mso-next-textbox:#_x0000_s2265" inset="0,0,0,0">
                <w:txbxContent/>
              </v:textbox>
            </v:shape>
            <v:shape id="_x0000_s2265" type="#_x0000_t202" style="position:absolute;top:4872;width:19333;height:508" filled="f" stroked="f">
              <v:textbox style="mso-next-textbox:#_x0000_s2266" inset="0,0,0,0">
                <w:txbxContent/>
              </v:textbox>
            </v:shape>
            <v:shape id="_x0000_s2266" type="#_x0000_t202" style="position:absolute;top:5378;width:19333;height:508" filled="f" stroked="f">
              <v:textbox style="mso-next-textbox:#_x0000_s2267" inset="0,0,0,0">
                <w:txbxContent/>
              </v:textbox>
            </v:shape>
            <v:shape id="_x0000_s2267" type="#_x0000_t202" style="position:absolute;top:5884;width:19333;height:508" filled="f" stroked="f">
              <v:textbox style="mso-next-textbox:#_x0000_s2268" inset="0,0,0,0">
                <w:txbxContent/>
              </v:textbox>
            </v:shape>
            <v:shape id="_x0000_s2268" type="#_x0000_t202" style="position:absolute;top:6390;width:19333;height:508" filled="f" stroked="f">
              <v:textbox style="mso-next-textbox:#_x0000_s2269" inset="0,0,0,0">
                <w:txbxContent/>
              </v:textbox>
            </v:shape>
            <v:shape id="_x0000_s2269" type="#_x0000_t202" style="position:absolute;top:6896;width:19333;height:508" filled="f" stroked="f">
              <v:textbox style="mso-next-textbox:#_x0000_s2270" inset="0,0,0,0">
                <w:txbxContent/>
              </v:textbox>
            </v:shape>
            <v:shape id="_x0000_s2270" type="#_x0000_t202" style="position:absolute;top:7402;width:19333;height:508" filled="f" stroked="f">
              <v:textbox style="mso-next-textbox:#_x0000_s2271" inset="0,0,0,0">
                <w:txbxContent/>
              </v:textbox>
            </v:shape>
            <v:shape id="_x0000_s2271" type="#_x0000_t202" style="position:absolute;top:7909;width:19333;height:508" filled="f" stroked="f">
              <v:textbox style="mso-next-textbox:#_x0000_s2272" inset="0,0,0,0">
                <w:txbxContent/>
              </v:textbox>
            </v:shape>
            <v:shape id="_x0000_s2272" type="#_x0000_t202" style="position:absolute;top:8415;width:19333;height:508" filled="f" stroked="f">
              <v:textbox style="mso-next-textbox:#_x0000_s2273" inset="0,0,0,0">
                <w:txbxContent/>
              </v:textbox>
            </v:shape>
            <v:shape id="_x0000_s2273" type="#_x0000_t202" style="position:absolute;top:8921;width:19333;height:508" filled="f" stroked="f">
              <v:textbox style="mso-next-textbox:#_x0000_s2274" inset="0,0,0,0">
                <w:txbxContent/>
              </v:textbox>
            </v:shape>
            <v:shape id="_x0000_s2274" type="#_x0000_t202" style="position:absolute;top:9427;width:19333;height:508" filled="f" stroked="f">
              <v:textbox style="mso-next-textbox:#_x0000_s2275" inset="0,0,0,0">
                <w:txbxContent/>
              </v:textbox>
            </v:shape>
            <v:shape id="_x0000_s2275" type="#_x0000_t202" style="position:absolute;top:9933;width:19333;height:824" filled="f" stroked="f">
              <v:textbox style="mso-next-textbox:#_x0000_s2276" inset="0,0,0,0">
                <w:txbxContent/>
              </v:textbox>
            </v:shape>
            <v:shape id="_x0000_s2276" type="#_x0000_t202" style="position:absolute;top:10756;width:19333;height:508" filled="f" stroked="f">
              <v:textbox style="mso-next-textbox:#_x0000_s2277" inset="0,0,0,0">
                <w:txbxContent/>
              </v:textbox>
            </v:shape>
            <v:shape id="_x0000_s2277" type="#_x0000_t202" style="position:absolute;top:11262;width:19333;height:508" filled="f" stroked="f">
              <v:textbox style="mso-next-textbox:#_x0000_s2278" inset="0,0,0,0">
                <w:txbxContent/>
              </v:textbox>
            </v:shape>
            <v:shape id="_x0000_s2278" type="#_x0000_t202" style="position:absolute;top:11768;width:19333;height:508" filled="f" stroked="f">
              <v:textbox style="mso-next-textbox:#_x0000_s2279" inset="0,0,0,0">
                <w:txbxContent/>
              </v:textbox>
            </v:shape>
            <v:shape id="_x0000_s2279" type="#_x0000_t202" style="position:absolute;top:12274;width:19333;height:508" filled="f" stroked="f">
              <v:textbox style="mso-next-textbox:#_x0000_s2280" inset="0,0,0,0">
                <w:txbxContent/>
              </v:textbox>
            </v:shape>
            <v:shape id="_x0000_s2280" type="#_x0000_t202" style="position:absolute;top:12780;width:19333;height:508" filled="f" stroked="f">
              <v:textbox style="mso-next-textbox:#_x0000_s2281" inset="0,0,0,0">
                <w:txbxContent/>
              </v:textbox>
            </v:shape>
            <v:shape id="_x0000_s2281" type="#_x0000_t202" style="position:absolute;top:13286;width:19333;height:508" filled="f" stroked="f">
              <v:textbox style="mso-next-textbox:#_x0000_s2282" inset="0,0,0,0">
                <w:txbxContent/>
              </v:textbox>
            </v:shape>
            <v:shape id="_x0000_s2282" type="#_x0000_t202" style="position:absolute;top:13793;width:19333;height:508" filled="f" stroked="f">
              <v:textbox style="mso-next-textbox:#_x0000_s2283" inset="0,0,0,0">
                <w:txbxContent/>
              </v:textbox>
            </v:shape>
            <v:shape id="_x0000_s2283" type="#_x0000_t202" style="position:absolute;top:14299;width:19333;height:508" filled="f" stroked="f">
              <v:textbox style="mso-next-textbox:#_x0000_s2284" inset="0,0,0,0">
                <w:txbxContent/>
              </v:textbox>
            </v:shape>
            <v:shape id="_x0000_s2284" type="#_x0000_t202" style="position:absolute;top:14805;width:19333;height:508" filled="f" stroked="f">
              <v:textbox style="mso-next-textbox:#_x0000_s2285" inset="0,0,0,0">
                <w:txbxContent/>
              </v:textbox>
            </v:shape>
            <v:shape id="_x0000_s2285" type="#_x0000_t202" style="position:absolute;top:15311;width:19333;height:508" filled="f" stroked="f">
              <v:textbox style="mso-next-textbox:#_x0000_s2286" inset="0,0,0,0">
                <w:txbxContent/>
              </v:textbox>
            </v:shape>
            <v:shape id="_x0000_s2286" type="#_x0000_t202" style="position:absolute;top:15817;width:19333;height:824" filled="f" stroked="f">
              <v:textbox style="mso-next-textbox:#_x0000_s2287" inset="0,0,0,0">
                <w:txbxContent/>
              </v:textbox>
            </v:shape>
            <v:shape id="_x0000_s2287" type="#_x0000_t202" style="position:absolute;top:16640;width:19333;height:508" filled="f" stroked="f">
              <v:textbox style="mso-next-textbox:#_x0000_s2288" inset="0,0,0,0">
                <w:txbxContent/>
              </v:textbox>
            </v:shape>
            <v:shape id="_x0000_s2288" type="#_x0000_t202" style="position:absolute;top:17146;width:19333;height:508" filled="f" stroked="f">
              <v:textbox style="mso-next-textbox:#_x0000_s2289" inset="0,0,0,0">
                <w:txbxContent/>
              </v:textbox>
            </v:shape>
            <v:shape id="_x0000_s2289" type="#_x0000_t202" style="position:absolute;top:17652;width:19333;height:508" filled="f" stroked="f">
              <v:textbox style="mso-next-textbox:#_x0000_s2290" inset="0,0,0,0">
                <w:txbxContent/>
              </v:textbox>
            </v:shape>
            <v:shape id="_x0000_s2290" type="#_x0000_t202" style="position:absolute;top:18158;width:19333;height:508" filled="f" stroked="f">
              <v:textbox style="mso-next-textbox:#_x0000_s2291" inset="0,0,0,0">
                <w:txbxContent/>
              </v:textbox>
            </v:shape>
            <v:shape id="_x0000_s2291" type="#_x0000_t202" style="position:absolute;top:18664;width:19333;height:508" filled="f" stroked="f">
              <v:textbox style="mso-next-textbox:#_x0000_s2292" inset="0,0,0,0">
                <w:txbxContent/>
              </v:textbox>
            </v:shape>
            <v:shape id="_x0000_s2292" type="#_x0000_t202" style="position:absolute;top:19170;width:19333;height:508" filled="f" stroked="f">
              <v:textbox style="mso-next-textbox:#_x0000_s2138" inset="0,0,0,0">
                <w:txbxContent/>
              </v:textbox>
            </v:shape>
            <w10:wrap type="tight" anchorx="page" anchory="page"/>
          </v:group>
        </w:pict>
      </w:r>
      <w:r>
        <w:rPr>
          <w:noProof/>
        </w:rPr>
        <w:pict>
          <v:shape id="_x0000_s2139" type="#_x0000_t202" style="position:absolute;margin-left:18pt;margin-top:74pt;width:2in;height:36pt;z-index:251658299;mso-wrap-edited:f;mso-position-horizontal-relative:page;mso-position-vertical-relative:page" wrapcoords="0 0 21600 0 21600 21600 0 21600 0 0" filled="f" stroked="f">
            <v:fill o:detectmouseclick="t"/>
            <v:stroke o:forcedash="t"/>
            <v:textbox style="mso-next-textbox:#_x0000_s2139" inset="0,0,0,0">
              <w:txbxContent>
                <w:p w:rsidR="0006605D" w:rsidRPr="009C07CB" w:rsidRDefault="00D0714D" w:rsidP="00C67D76">
                  <w:pPr>
                    <w:pStyle w:val="Symbol"/>
                    <w:rPr>
                      <w:color w:val="CF9FCF" w:themeColor="accent1" w:themeTint="66"/>
                    </w:rPr>
                  </w:pPr>
                  <w:r w:rsidRPr="009C07CB">
                    <w:rPr>
                      <w:color w:val="CF9FCF" w:themeColor="accent1" w:themeTint="66"/>
                    </w:rPr>
                    <w:t>+</w:t>
                  </w:r>
                </w:p>
              </w:txbxContent>
            </v:textbox>
            <w10:wrap anchorx="page" anchory="page"/>
          </v:shape>
        </w:pict>
      </w:r>
      <w:r>
        <w:rPr>
          <w:noProof/>
        </w:rPr>
        <w:pict>
          <v:rect id="_x0000_s2082" style="position:absolute;margin-left:448.55pt;margin-top:36pt;width:127.45pt;height:127.45pt;z-index:251658254;mso-wrap-edited:f;mso-position-horizontal-relative:page;mso-position-vertical-relative:page" fillcolor="#636 [3204]" stroked="f" strokecolor="#4a7ebb" strokeweight="1.5pt">
            <v:fill o:detectmouseclick="t"/>
            <v:shadow opacity="22938f" mv:blur="38100f" offset="0,2pt"/>
            <v:textbox inset=",7.2pt,,7.2pt">
              <w:txbxContent>
                <w:p w:rsidR="0006605D" w:rsidRDefault="00D0714D" w:rsidP="00C67D76">
                  <w:pPr>
                    <w:pStyle w:val="Heading5"/>
                  </w:pPr>
                </w:p>
              </w:txbxContent>
            </v:textbox>
            <w10:wrap anchorx="page" anchory="page"/>
          </v:rect>
        </w:pict>
      </w:r>
      <w:r>
        <w:br w:type="page"/>
      </w:r>
      <w:r>
        <w:rPr>
          <w:noProof/>
        </w:rPr>
        <w:pict>
          <v:shape id="_x0000_s2246" type="#_x0000_t202" style="position:absolute;margin-left:36pt;margin-top:315pt;width:264.9pt;height:441pt;z-index:251665525;mso-wrap-edited:f;mso-position-horizontal-relative:page;mso-position-vertical-relative:page" wrapcoords="0 0 21600 0 21600 21600 0 21600 0 0" mv:complextextbox="1" filled="f" stroked="f">
            <v:fill o:detectmouseclick="t"/>
            <v:textbox inset=",7.2pt,,7.2pt">
              <w:txbxContent>
                <w:p w:rsidR="0006605D" w:rsidRPr="009C2711" w:rsidRDefault="00D0714D" w:rsidP="007F4954">
                  <w:pPr>
                    <w:ind w:left="720" w:hanging="720"/>
                    <w:rPr>
                      <w:rFonts w:ascii="Adobe Garamond Pro" w:hAnsi="Adobe Garamond Pro"/>
                      <w:b/>
                    </w:rPr>
                  </w:pPr>
                  <w:r w:rsidRPr="009C2711">
                    <w:rPr>
                      <w:rFonts w:ascii="Adobe Garamond Pro" w:hAnsi="Adobe Garamond Pro"/>
                      <w:b/>
                    </w:rPr>
                    <w:t>Alford, S., Brown, L., and Letts, C.  (2002). “Social Entrepreneurship and Social Transformation: An Exploratory Study.” Hauser Center for Nonprofit Organizations and The Kennedy School of Government, Harvard University. (pp. 1-26</w:t>
                  </w:r>
                  <w:r w:rsidRPr="009C2711">
                    <w:rPr>
                      <w:rFonts w:ascii="Adobe Garamond Pro" w:hAnsi="Adobe Garamond Pro"/>
                      <w:b/>
                    </w:rPr>
                    <w:t>).</w:t>
                  </w:r>
                </w:p>
                <w:p w:rsidR="0006605D" w:rsidRPr="002A0718" w:rsidRDefault="00D0714D" w:rsidP="007F4954">
                  <w:pPr>
                    <w:rPr>
                      <w:rFonts w:ascii="Adobe Garamond Pro" w:hAnsi="Adobe Garamond Pro"/>
                    </w:rPr>
                  </w:pPr>
                  <w:r w:rsidRPr="002A0718">
                    <w:rPr>
                      <w:rFonts w:ascii="Adobe Garamond Pro" w:hAnsi="Adobe Garamond Pro"/>
                    </w:rPr>
                    <w:tab/>
                    <w:t>Social Entrepreneurship is a term that has taken on several different meanings, including the combination of commercial enterprises and social impacts, innovation for social impact, and catalyst of social transformation.  Alford, Brown, and focus on th</w:t>
                  </w:r>
                  <w:r w:rsidRPr="002A0718">
                    <w:rPr>
                      <w:rFonts w:ascii="Adobe Garamond Pro" w:hAnsi="Adobe Garamond Pro"/>
                    </w:rPr>
                    <w:t>e latter of the three meanings in this paper that focuses on “social entrepreneurship that creates innovative solutions to immediate social problems and also mobilizes ideas, resources, and social arrangements required for long-term, sustainable social tra</w:t>
                  </w:r>
                  <w:r w:rsidRPr="002A0718">
                    <w:rPr>
                      <w:rFonts w:ascii="Adobe Garamond Pro" w:hAnsi="Adobe Garamond Pro"/>
                    </w:rPr>
                    <w:t>nsformations” (Alford et al., 4).   In their hypothesis-generating comparative analysis of social entrepreneurship initiatives that have been widely regarded as successful, they seek to identify patterns across such success stories.  The social entrepreneu</w:t>
                  </w:r>
                  <w:r w:rsidRPr="002A0718">
                    <w:rPr>
                      <w:rFonts w:ascii="Adobe Garamond Pro" w:hAnsi="Adobe Garamond Pro"/>
                    </w:rPr>
                    <w:t>rship cases include: Bangladesh Rural Advancement Committee (BRAC), The Grameen Bank, the Green Belt Movement, the Highlander Research and Education Center, Plan Puebla, Self-Employed Women’s Association (SEWA), and Se Servir de la Saison Seche en Savane e</w:t>
                  </w:r>
                  <w:r w:rsidRPr="002A0718">
                    <w:rPr>
                      <w:rFonts w:ascii="Adobe Garamond Pro" w:hAnsi="Adobe Garamond Pro"/>
                    </w:rPr>
                    <w:t xml:space="preserve">t au Sahel (Six-S).  These seven initiatives serve different populations and work in a variety of fields.  However, there are cohesive patterns among them.  </w:t>
                  </w:r>
                </w:p>
                <w:p w:rsidR="0006605D" w:rsidRDefault="00D0714D"/>
              </w:txbxContent>
            </v:textbox>
            <w10:wrap type="tight"/>
          </v:shape>
        </w:pict>
      </w:r>
      <w:r>
        <w:rPr>
          <w:noProof/>
        </w:rPr>
        <w:pict>
          <v:shape id="_x0000_s2244" type="#_x0000_t202" style="position:absolute;margin-left:306pt;margin-top:315pt;width:268.85pt;height:441pt;z-index:251662453;mso-wrap-edited:f;mso-position-horizontal-relative:page;mso-position-vertical-relative:page" wrapcoords="0 0 21600 0 21600 21600 0 21600 0 0" mv:complextextbox="1" filled="f" stroked="f">
            <v:fill o:detectmouseclick="t"/>
            <v:textbox inset=",7.2pt,,7.2pt">
              <w:txbxContent>
                <w:p w:rsidR="0006605D" w:rsidRPr="002A0718" w:rsidRDefault="00D0714D" w:rsidP="002A0718">
                  <w:pPr>
                    <w:rPr>
                      <w:rFonts w:ascii="Adobe Garamond Pro" w:hAnsi="Adobe Garamond Pro"/>
                    </w:rPr>
                  </w:pPr>
                  <w:r w:rsidRPr="002A0718">
                    <w:rPr>
                      <w:rFonts w:ascii="Adobe Garamond Pro" w:hAnsi="Adobe Garamond Pro"/>
                    </w:rPr>
                    <w:t xml:space="preserve">and work in a variety of fields.  However, there are cohesive patterns among them.  </w:t>
                  </w:r>
                </w:p>
                <w:p w:rsidR="0006605D" w:rsidRDefault="00D0714D" w:rsidP="002A0718">
                  <w:r w:rsidRPr="002A0718">
                    <w:rPr>
                      <w:rFonts w:ascii="Adobe Garamond Pro" w:hAnsi="Adobe Garamond Pro"/>
                    </w:rPr>
                    <w:tab/>
                    <w:t>The authors examined three major themes within each of the social entrepren</w:t>
                  </w:r>
                  <w:r w:rsidRPr="002A0718">
                    <w:rPr>
                      <w:rFonts w:ascii="Adobe Garamond Pro" w:hAnsi="Adobe Garamond Pro"/>
                    </w:rPr>
                    <w:t>eurship initiatives.  They studied the core innovation pattern, the mobilization of asset capacities of the poor, and the emphasis on continuous learning.  Next, they look at the leaders of these initiatives to see what they have in common.  In spite of di</w:t>
                  </w:r>
                  <w:r w:rsidRPr="002A0718">
                    <w:rPr>
                      <w:rFonts w:ascii="Adobe Garamond Pro" w:hAnsi="Adobe Garamond Pro"/>
                    </w:rPr>
                    <w:t>verse educational, occupational, economic, and cultural backgrounds, the authors found that leaders of successful initiatives have bridging capacity and adaptive skills.  Leadership of successful social entrepreneurship initiatives was also characterized b</w:t>
                  </w:r>
                  <w:r w:rsidRPr="002A0718">
                    <w:rPr>
                      <w:rFonts w:ascii="Adobe Garamond Pro" w:hAnsi="Adobe Garamond Pro"/>
                    </w:rPr>
                    <w:t>y long-term commitment to the initiative, and the ability to catalyze adaptation to contextual challenges as they arise (14). The study also examines organizational arrangements, both within the organization and externally with others.  Effective arrangeme</w:t>
                  </w:r>
                  <w:r w:rsidRPr="002A0718">
                    <w:rPr>
                      <w:rFonts w:ascii="Adobe Garamond Pro" w:hAnsi="Adobe Garamond Pro"/>
                    </w:rPr>
                    <w:t>nts and cooperation in each of these two spheres is crucial to the initiative’s ability to affect widespread movement.  Further discussion includes the strategies each initiative uses to scale up and affect social transformation through various forms of so</w:t>
                  </w:r>
                  <w:r w:rsidRPr="002A0718">
                    <w:rPr>
                      <w:rFonts w:ascii="Adobe Garamond Pro" w:hAnsi="Adobe Garamond Pro"/>
                    </w:rPr>
                    <w:t xml:space="preserve">cial leverage and agency. </w:t>
                  </w:r>
                  <w:r>
                    <w:t xml:space="preserve"> </w:t>
                  </w:r>
                  <w:r w:rsidRPr="002A0718">
                    <w:rPr>
                      <w:rFonts w:ascii="Adobe Garamond Pro" w:hAnsi="Adobe Garamond Pro"/>
                    </w:rPr>
                    <w:t>Resulting transformation is then scaled as high, medium, and low.  The study found that all of these successfully innovating social entrepreneurship ventures shared that they sought to build up the capacity and agency of the poor</w:t>
                  </w:r>
                  <w:r w:rsidRPr="002A0718">
                    <w:rPr>
                      <w:rFonts w:ascii="Adobe Garamond Pro" w:hAnsi="Adobe Garamond Pro"/>
                    </w:rPr>
                    <w:t xml:space="preserve"> that they</w:t>
                  </w:r>
                  <w:r>
                    <w:t xml:space="preserve"> served.  </w:t>
                  </w:r>
                </w:p>
                <w:p w:rsidR="0006605D" w:rsidRDefault="00D0714D" w:rsidP="00A320BD">
                  <w:r w:rsidRPr="00A320BD">
                    <w:rPr>
                      <w:rFonts w:ascii="Adobe Garamond Pro" w:hAnsi="Adobe Garamond Pro"/>
                    </w:rPr>
                    <w:tab/>
                  </w:r>
                </w:p>
                <w:p w:rsidR="0006605D" w:rsidRDefault="00D0714D"/>
              </w:txbxContent>
            </v:textbox>
            <w10:wrap type="tight"/>
          </v:shape>
        </w:pict>
      </w:r>
      <w:r>
        <w:rPr>
          <w:noProof/>
        </w:rPr>
        <w:pict>
          <v:shape id="_x0000_s2245" type="#_x0000_t202" style="position:absolute;margin-left:36pt;margin-top:315pt;width:264.9pt;height:441pt;z-index:251663477;mso-wrap-edited:f;mso-position-horizontal-relative:page;mso-position-vertical-relative:page" wrapcoords="0 0 21600 0 21600 21600 0 21600 0 0" mv:complextextbox="1" filled="f" stroked="f">
            <v:fill o:detectmouseclick="t"/>
            <v:textbox inset=",7.2pt,,7.2pt">
              <w:txbxContent>
                <w:p w:rsidR="0006605D" w:rsidRDefault="00D0714D"/>
              </w:txbxContent>
            </v:textbox>
            <w10:wrap type="tight"/>
          </v:shape>
        </w:pict>
      </w:r>
      <w:r>
        <w:rPr>
          <w:noProof/>
        </w:rPr>
        <w:pict>
          <v:shape id="_x0000_s2143" type="#_x0000_t202" style="position:absolute;margin-left:37.15pt;margin-top:315pt;width:268.85pt;height:441pt;z-index:251658303;mso-wrap-edited:f;mso-position-horizontal-relative:page;mso-position-vertical-relative:page" wrapcoords="0 0 21600 0 21600 21600 0 21600 0 0" mv:complextextbox="1" filled="f" stroked="f">
            <v:fill o:detectmouseclick="t"/>
            <v:textbox style="mso-next-textbox:#_x0000_s2143" inset="0,0,0,0">
              <w:txbxContent/>
            </v:textbox>
            <w10:wrap type="tight" anchorx="page" anchory="page"/>
          </v:shape>
        </w:pict>
      </w:r>
      <w:r>
        <w:rPr>
          <w:noProof/>
        </w:rPr>
        <w:pict>
          <v:shape id="_x0000_s2243" type="#_x0000_t202" style="position:absolute;margin-left:133pt;margin-top:271pt;width:347pt;height:44pt;z-index:251660405;mso-wrap-edited:f;mso-position-horizontal-relative:page;mso-position-vertical-relative:page" wrapcoords="0 0 21600 0 21600 21600 0 21600 0 0" mv:complextextbox="1" filled="f" stroked="f">
            <v:fill o:detectmouseclick="t"/>
            <v:textbox inset=",7.2pt,,7.2pt">
              <w:txbxContent>
                <w:p w:rsidR="0006605D" w:rsidRPr="00A320BD" w:rsidRDefault="00D0714D" w:rsidP="00A320BD">
                  <w:pPr>
                    <w:jc w:val="center"/>
                    <w:rPr>
                      <w:rFonts w:ascii="Adobe Garamond Pro" w:hAnsi="Adobe Garamond Pro"/>
                      <w:color w:val="663366" w:themeColor="accent1"/>
                      <w:sz w:val="48"/>
                    </w:rPr>
                  </w:pPr>
                  <w:r w:rsidRPr="00A320BD">
                    <w:rPr>
                      <w:rFonts w:ascii="Adobe Garamond Pro" w:hAnsi="Adobe Garamond Pro"/>
                      <w:color w:val="663366" w:themeColor="accent1"/>
                      <w:sz w:val="48"/>
                    </w:rPr>
                    <w:t>Literature Review</w:t>
                  </w:r>
                </w:p>
              </w:txbxContent>
            </v:textbox>
            <w10:wrap type="tight"/>
          </v:shape>
        </w:pict>
      </w:r>
      <w:r>
        <w:rPr>
          <w:noProof/>
        </w:rPr>
        <w:pict>
          <v:rect id="_x0000_s2165" style="position:absolute;margin-left:37.15pt;margin-top:36pt;width:540pt;height:229pt;z-index:251658262;mso-wrap-edited:f;mso-position-horizontal-relative:page;mso-position-vertical-relative:page" o:regroupid="2" fillcolor="#669 [3206]" stroked="f" strokecolor="#4a7ebb" strokeweight="1.5pt">
            <v:fill o:detectmouseclick="t"/>
            <v:shadow opacity="22938f" mv:blur="38100f" offset="0,2pt"/>
            <v:textbox style="mso-next-textbox:#_x0000_s2165" inset="14.4pt,7.2pt,,7.2pt">
              <w:txbxContent>
                <w:p w:rsidR="0006605D" w:rsidRPr="00F61E33" w:rsidRDefault="00D0714D" w:rsidP="00C67D76">
                  <w:pPr>
                    <w:pStyle w:val="Symbol"/>
                    <w:rPr>
                      <w:color w:val="C1C1D6" w:themeColor="accent3" w:themeTint="66"/>
                    </w:rPr>
                  </w:pPr>
                </w:p>
              </w:txbxContent>
            </v:textbox>
            <w10:wrap anchorx="page" anchory="page"/>
          </v:rect>
        </w:pict>
      </w:r>
      <w:r>
        <w:rPr>
          <w:noProof/>
        </w:rPr>
        <w:pict>
          <v:group id="_x0000_s2293" style="position:absolute;margin-left:37.15pt;margin-top:36pt;width:274.1pt;height:229pt;z-index:251658302;mso-position-horizontal-relative:page;mso-position-vertical-relative:page" coordsize="20000,20000" wrapcoords="0 0 21600 0 21600 21600 0 21600 0 0" mv:complextextbox="1">
            <o:lock v:ext="edit" ungrouping="t"/>
            <v:shape id="_x0000_s2294" type="#_x0000_t202" style="position:absolute;width:20000;height:20000;mso-wrap-edited:f;mso-position-horizontal-relative:page;mso-position-vertical-relative:page" wrapcoords="0 0 21600 0 21600 21600 0 21600 0 0" mv:complextextbox="1" filled="f" stroked="f">
              <v:fill o:detectmouseclick="t"/>
              <v:textbox style="mso-next-textbox:#_x0000_s2143" inset="0,0,0,0"/>
            </v:shape>
            <v:shape id="_x0000_s2295" type="#_x0000_t202" style="position:absolute;width:19281;height:1262" filled="f" stroked="f">
              <v:textbox style="mso-next-textbox:#_x0000_s2296" inset="0,0,0,0">
                <w:txbxContent>
                  <w:p w:rsidR="0006605D" w:rsidRPr="00D033F1" w:rsidRDefault="00D0714D" w:rsidP="00D033F1">
                    <w:pPr>
                      <w:pStyle w:val="BodyText2"/>
                      <w:spacing w:after="0" w:line="240" w:lineRule="auto"/>
                      <w:rPr>
                        <w:rFonts w:ascii="Adobe Garamond Pro" w:hAnsi="Adobe Garamond Pro"/>
                        <w:sz w:val="24"/>
                      </w:rPr>
                    </w:pPr>
                    <w:r w:rsidRPr="00D033F1">
                      <w:rPr>
                        <w:rFonts w:ascii="Adobe Garamond Pro" w:hAnsi="Adobe Garamond Pro"/>
                        <w:sz w:val="24"/>
                      </w:rPr>
                      <w:t>ideal conditions.  But these women say that they are much better off than they were before the loans.</w:t>
                    </w:r>
                    <w:r>
                      <w:rPr>
                        <w:rFonts w:ascii="Adobe Garamond Pro" w:hAnsi="Adobe Garamond Pro"/>
                        <w:sz w:val="24"/>
                      </w:rPr>
                      <w:t xml:space="preserve">  One loan group near DLF Mor in Delhi says that before the women in their community began taking micro-loans from Shikhar to</w:t>
                    </w:r>
                    <w:r>
                      <w:rPr>
                        <w:rFonts w:ascii="Adobe Garamond Pro" w:hAnsi="Adobe Garamond Pro"/>
                        <w:sz w:val="24"/>
                      </w:rPr>
                      <w:t xml:space="preserve"> start entrepreneurial activities, they had many problems with their drinking water.  The water came to them in a truck, and they had to fill up buckets with their supply to last until the next time the truck came.  These women report even getting sick fro</w:t>
                    </w:r>
                    <w:r>
                      <w:rPr>
                        <w:rFonts w:ascii="Adobe Garamond Pro" w:hAnsi="Adobe Garamond Pro"/>
                        <w:sz w:val="24"/>
                      </w:rPr>
                      <w:t>m the water.  But with the money they have generated from their businesses, their families were able to begin to lay pipes for formal plumbing.  Formal plumbing does not mean the end of their problems, but it is a huge step forward in alleviating the inten</w:t>
                    </w:r>
                    <w:r>
                      <w:rPr>
                        <w:rFonts w:ascii="Adobe Garamond Pro" w:hAnsi="Adobe Garamond Pro"/>
                        <w:sz w:val="24"/>
                      </w:rPr>
                      <w:t>sity of their poverty.</w:t>
                    </w:r>
                    <w:r w:rsidRPr="00D033F1">
                      <w:rPr>
                        <w:rFonts w:ascii="Adobe Garamond Pro" w:hAnsi="Adobe Garamond Pro"/>
                        <w:sz w:val="24"/>
                      </w:rPr>
                      <w:t xml:space="preserve">  </w:t>
                    </w:r>
                  </w:p>
                </w:txbxContent>
              </v:textbox>
            </v:shape>
            <v:shape id="_x0000_s2296" type="#_x0000_t202" style="position:absolute;top:1258;width:19281;height:1262" filled="f" stroked="f">
              <v:textbox style="mso-next-textbox:#_x0000_s2297" inset="0,0,0,0">
                <w:txbxContent/>
              </v:textbox>
            </v:shape>
            <v:shape id="_x0000_s2297" type="#_x0000_t202" style="position:absolute;top:2515;width:19281;height:1262" filled="f" stroked="f">
              <v:textbox style="mso-next-textbox:#_x0000_s2298" inset="0,0,0,0">
                <w:txbxContent/>
              </v:textbox>
            </v:shape>
            <v:shape id="_x0000_s2298" type="#_x0000_t202" style="position:absolute;top:3773;width:19281;height:1262" filled="f" stroked="f">
              <v:textbox style="mso-next-textbox:#_x0000_s2299" inset="0,0,0,0">
                <w:txbxContent/>
              </v:textbox>
            </v:shape>
            <v:shape id="_x0000_s2299" type="#_x0000_t202" style="position:absolute;top:5031;width:19281;height:1262" filled="f" stroked="f">
              <v:textbox style="mso-next-textbox:#_x0000_s2300" inset="0,0,0,0">
                <w:txbxContent/>
              </v:textbox>
            </v:shape>
            <v:shape id="_x0000_s2300" type="#_x0000_t202" style="position:absolute;top:6288;width:19281;height:1262" filled="f" stroked="f">
              <v:textbox style="mso-next-textbox:#_x0000_s2301" inset="0,0,0,0">
                <w:txbxContent/>
              </v:textbox>
            </v:shape>
            <v:shape id="_x0000_s2301" type="#_x0000_t202" style="position:absolute;top:7546;width:19281;height:1262" filled="f" stroked="f">
              <v:textbox style="mso-next-textbox:#_x0000_s2302" inset="0,0,0,0">
                <w:txbxContent/>
              </v:textbox>
            </v:shape>
            <v:shape id="_x0000_s2302" type="#_x0000_t202" style="position:absolute;top:8803;width:19281;height:1263" filled="f" stroked="f">
              <v:textbox style="mso-next-textbox:#_x0000_s2303" inset="0,0,0,0">
                <w:txbxContent/>
              </v:textbox>
            </v:shape>
            <v:shape id="_x0000_s2303" type="#_x0000_t202" style="position:absolute;top:10061;width:19281;height:1262" filled="f" stroked="f">
              <v:textbox style="mso-next-textbox:#_x0000_s2304" inset="0,0,0,0">
                <w:txbxContent/>
              </v:textbox>
            </v:shape>
            <v:shape id="_x0000_s2304" type="#_x0000_t202" style="position:absolute;top:11319;width:19281;height:1262" filled="f" stroked="f">
              <v:textbox style="mso-next-textbox:#_x0000_s2305" inset="0,0,0,0">
                <w:txbxContent/>
              </v:textbox>
            </v:shape>
            <v:shape id="_x0000_s2305" type="#_x0000_t202" style="position:absolute;top:12576;width:19281;height:1262" filled="f" stroked="f">
              <v:textbox style="mso-next-textbox:#_x0000_s2306" inset="0,0,0,0">
                <w:txbxContent/>
              </v:textbox>
            </v:shape>
            <v:shape id="_x0000_s2306" type="#_x0000_t202" style="position:absolute;top:13834;width:19281;height:1262" filled="f" stroked="f">
              <v:textbox style="mso-next-textbox:#_x0000_s2307" inset="0,0,0,0">
                <w:txbxContent/>
              </v:textbox>
            </v:shape>
            <v:shape id="_x0000_s2307" type="#_x0000_t202" style="position:absolute;top:15092;width:19281;height:1262" filled="f" stroked="f">
              <v:textbox style="mso-next-textbox:#_x0000_s2308" inset="0,0,0,0">
                <w:txbxContent/>
              </v:textbox>
            </v:shape>
            <v:shape id="_x0000_s2308" type="#_x0000_t202" style="position:absolute;top:16349;width:19996;height:1262" filled="f" stroked="f">
              <v:textbox style="mso-next-textbox:#_x0000_s2143" inset="0,0,0,0">
                <w:txbxContent/>
              </v:textbox>
            </v:shape>
            <w10:wrap type="tight" anchorx="page" anchory="page"/>
          </v:group>
        </w:pict>
      </w:r>
      <w:r>
        <w:rPr>
          <w:noProof/>
        </w:rPr>
        <w:pict>
          <v:shape id="_x0000_s2242" type="#_x0000_t202" style="position:absolute;margin-left:327pt;margin-top:212.75pt;width:250.15pt;height:45.25pt;z-index:251659381;mso-wrap-edited:f;mso-position-horizontal-relative:page;mso-position-vertical-relative:page" wrapcoords="0 0 21600 0 21600 21600 0 21600 0 0" mv:complextextbox="1" filled="f" stroked="f">
            <v:fill o:detectmouseclick="t"/>
            <v:textbox inset=",7.2pt,,7.2pt">
              <w:txbxContent>
                <w:p w:rsidR="0006605D" w:rsidRPr="00F206CE" w:rsidRDefault="00D0714D" w:rsidP="00F206CE">
                  <w:pPr>
                    <w:spacing w:after="0"/>
                    <w:rPr>
                      <w:rFonts w:ascii="Adobe Garamond Pro" w:hAnsi="Adobe Garamond Pro"/>
                      <w:color w:val="FFFFFF" w:themeColor="background1"/>
                    </w:rPr>
                  </w:pPr>
                  <w:r>
                    <w:rPr>
                      <w:rFonts w:ascii="Adobe Garamond Pro" w:hAnsi="Adobe Garamond Pro"/>
                      <w:color w:val="FFFFFF" w:themeColor="background1"/>
                    </w:rPr>
                    <w:t>The women of Balaji loan group after a loan m</w:t>
                  </w:r>
                  <w:r>
                    <w:rPr>
                      <w:rFonts w:ascii="Adobe Garamond Pro" w:hAnsi="Adobe Garamond Pro"/>
                      <w:color w:val="FFFFFF" w:themeColor="background1"/>
                    </w:rPr>
                    <w:t>eeting.</w:t>
                  </w:r>
                </w:p>
              </w:txbxContent>
            </v:textbox>
            <w10:wrap type="tight"/>
          </v:shape>
        </w:pict>
      </w:r>
      <w:r>
        <w:rPr>
          <w:noProof/>
        </w:rPr>
        <w:drawing>
          <wp:anchor distT="0" distB="0" distL="118745" distR="118745" simplePos="0" relativeHeight="251658347" behindDoc="0" locked="0" layoutInCell="1" allowOverlap="1">
            <wp:simplePos x="0" y="0"/>
            <wp:positionH relativeFrom="page">
              <wp:posOffset>3971925</wp:posOffset>
            </wp:positionH>
            <wp:positionV relativeFrom="page">
              <wp:posOffset>457200</wp:posOffset>
            </wp:positionV>
            <wp:extent cx="3373755" cy="2235200"/>
            <wp:effectExtent l="25400" t="0" r="4445" b="0"/>
            <wp:wrapTight wrapText="bothSides">
              <wp:wrapPolygon edited="0">
                <wp:start x="-163" y="0"/>
                <wp:lineTo x="-163" y="21355"/>
                <wp:lineTo x="21628" y="21355"/>
                <wp:lineTo x="21628" y="0"/>
                <wp:lineTo x="-163" y="0"/>
              </wp:wrapPolygon>
            </wp:wrapTight>
            <wp:docPr id="197" name="Placeholder" descr=":advantage brochure images:CB06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CB060300.jpg"/>
                    <pic:cNvPicPr>
                      <a:picLocks noChangeAspect="1" noChangeArrowheads="1"/>
                    </pic:cNvPicPr>
                  </pic:nvPicPr>
                  <pic:blipFill>
                    <a:blip r:embed="rId9"/>
                    <a:stretch>
                      <a:fillRect/>
                    </a:stretch>
                  </pic:blipFill>
                  <pic:spPr bwMode="auto">
                    <a:xfrm>
                      <a:off x="0" y="0"/>
                      <a:ext cx="3373755" cy="2235200"/>
                    </a:xfrm>
                    <a:prstGeom prst="rect">
                      <a:avLst/>
                    </a:prstGeom>
                    <a:noFill/>
                    <a:ln w="9525">
                      <a:noFill/>
                      <a:miter lim="800000"/>
                      <a:headEnd/>
                      <a:tailEnd/>
                    </a:ln>
                  </pic:spPr>
                </pic:pic>
              </a:graphicData>
            </a:graphic>
          </wp:anchor>
        </w:drawing>
      </w:r>
      <w:r>
        <w:br w:type="page"/>
      </w:r>
      <w:r>
        <w:rPr>
          <w:noProof/>
        </w:rPr>
        <w:drawing>
          <wp:anchor distT="0" distB="0" distL="118745" distR="118745" simplePos="0" relativeHeight="251658350" behindDoc="0" locked="0" layoutInCell="1" allowOverlap="1">
            <wp:simplePos x="0" y="0"/>
            <wp:positionH relativeFrom="page">
              <wp:posOffset>2822575</wp:posOffset>
            </wp:positionH>
            <wp:positionV relativeFrom="page">
              <wp:posOffset>479425</wp:posOffset>
            </wp:positionV>
            <wp:extent cx="4480560" cy="2975610"/>
            <wp:effectExtent l="25400" t="0" r="0" b="0"/>
            <wp:wrapTight wrapText="bothSides">
              <wp:wrapPolygon edited="0">
                <wp:start x="-122" y="0"/>
                <wp:lineTo x="-122" y="21388"/>
                <wp:lineTo x="21551" y="21388"/>
                <wp:lineTo x="21551" y="0"/>
                <wp:lineTo x="-122" y="0"/>
              </wp:wrapPolygon>
            </wp:wrapTight>
            <wp:docPr id="48" name="Placeholder" descr=":advantage brochure images:42-18138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8138061.jpg"/>
                    <pic:cNvPicPr>
                      <a:picLocks noChangeAspect="1" noChangeArrowheads="1"/>
                    </pic:cNvPicPr>
                  </pic:nvPicPr>
                  <pic:blipFill>
                    <a:blip r:embed="rId10"/>
                    <a:stretch>
                      <a:fillRect/>
                    </a:stretch>
                  </pic:blipFill>
                  <pic:spPr bwMode="auto">
                    <a:xfrm>
                      <a:off x="0" y="0"/>
                      <a:ext cx="4480560" cy="2975610"/>
                    </a:xfrm>
                    <a:prstGeom prst="rect">
                      <a:avLst/>
                    </a:prstGeom>
                    <a:noFill/>
                    <a:ln w="9525">
                      <a:noFill/>
                      <a:miter lim="800000"/>
                      <a:headEnd/>
                      <a:tailEnd/>
                    </a:ln>
                  </pic:spPr>
                </pic:pic>
              </a:graphicData>
            </a:graphic>
          </wp:anchor>
        </w:drawing>
      </w:r>
      <w:r>
        <w:rPr>
          <w:noProof/>
        </w:rPr>
        <w:pict>
          <v:rect id="_x0000_s2251" style="position:absolute;margin-left:36pt;margin-top:36pt;width:185.5pt;height:234pt;z-index:251669621;mso-wrap-edited:f;mso-position-horizontal-relative:page;mso-position-vertical-relative:page" wrapcoords="-91 0 -91 21461 21691 21461 21691 0 -91 0" fillcolor="#996 [3207]" strokecolor="#4a7ebb" strokeweight="1.5pt">
            <v:fill o:detectmouseclick="t"/>
            <v:stroke opacity="0"/>
            <v:shadow opacity="22938f" mv:blur="38100f" offset="0,2pt"/>
            <v:textbox inset=",7.2pt,,7.2pt"/>
            <w10:wrap type="tight"/>
          </v:rect>
        </w:pict>
      </w:r>
      <w:r>
        <w:rPr>
          <w:noProof/>
        </w:rPr>
        <w:pict>
          <v:shape id="_x0000_s2248" type="#_x0000_t202" style="position:absolute;margin-left:306pt;margin-top:271.75pt;width:270pt;height:493.75pt;z-index:251666549;mso-wrap-edited:f;mso-position-horizontal-relative:page;mso-position-vertical-relative:page" wrapcoords="0 0 21600 0 21600 21600 0 21600 0 0" mv:complextextbox="1" filled="f" stroked="f">
            <v:fill o:detectmouseclick="t"/>
            <v:textbox inset=",7.2pt,,7.2pt">
              <w:txbxContent>
                <w:p w:rsidR="0006605D" w:rsidRPr="002A0718" w:rsidRDefault="00D0714D" w:rsidP="002A0718">
                  <w:pPr>
                    <w:pStyle w:val="BodyText2"/>
                    <w:spacing w:after="0" w:line="240" w:lineRule="auto"/>
                    <w:rPr>
                      <w:sz w:val="24"/>
                    </w:rPr>
                  </w:pPr>
                  <w:r w:rsidRPr="002A0718">
                    <w:rPr>
                      <w:rFonts w:ascii="Adobe Garamond Pro" w:hAnsi="Adobe Garamond Pro"/>
                      <w:sz w:val="24"/>
                    </w:rPr>
                    <w:t>The means by which they can obtain their repayment inclu</w:t>
                  </w:r>
                  <w:r w:rsidRPr="002A0718">
                    <w:rPr>
                      <w:rFonts w:ascii="Adobe Garamond Pro" w:hAnsi="Adobe Garamond Pro"/>
                      <w:sz w:val="24"/>
                    </w:rPr>
                    <w:t xml:space="preserve">de, “dharma (persuation), vyavahara (legal proceeding), cala or upadhi (trick), carita (sitting down at his door), and bala (compulsion to do the work or confinement)” (10).  Yes, even bonded labor is cited as an appropriate way to make good on a loan, as </w:t>
                  </w:r>
                  <w:r w:rsidRPr="002A0718">
                    <w:rPr>
                      <w:rFonts w:ascii="Adobe Garamond Pro" w:hAnsi="Adobe Garamond Pro"/>
                      <w:sz w:val="24"/>
                    </w:rPr>
                    <w:t>long as the debtor was from a lower caste.</w:t>
                  </w:r>
                </w:p>
                <w:p w:rsidR="0006605D" w:rsidRPr="009C2711" w:rsidRDefault="00D0714D">
                  <w:pPr>
                    <w:rPr>
                      <w:rFonts w:ascii="Adobe Garamond Pro" w:hAnsi="Adobe Garamond Pro"/>
                      <w:color w:val="FFFFFF" w:themeColor="background1"/>
                    </w:rPr>
                  </w:pPr>
                </w:p>
                <w:p w:rsidR="0006605D" w:rsidRPr="009C2711" w:rsidRDefault="00D0714D" w:rsidP="009C2711">
                  <w:pPr>
                    <w:rPr>
                      <w:rFonts w:ascii="Adobe Garamond Pro" w:hAnsi="Adobe Garamond Pro"/>
                      <w:b/>
                      <w:color w:val="FFFFFF" w:themeColor="background1"/>
                    </w:rPr>
                  </w:pPr>
                  <w:r w:rsidRPr="009C2711">
                    <w:rPr>
                      <w:rFonts w:ascii="Adobe Garamond Pro" w:hAnsi="Adobe Garamond Pro"/>
                      <w:b/>
                      <w:color w:val="FFFFFF" w:themeColor="background1"/>
                    </w:rPr>
                    <w:t xml:space="preserve">Bussau, D., Mask, R.  (2003).  </w:t>
                  </w:r>
                  <w:r w:rsidRPr="009C2711">
                    <w:rPr>
                      <w:rFonts w:ascii="Adobe Garamond Pro" w:hAnsi="Adobe Garamond Pro"/>
                      <w:b/>
                      <w:i/>
                      <w:color w:val="FFFFFF" w:themeColor="background1"/>
                    </w:rPr>
                    <w:t>Christian Microenterprise Development: An Introduction</w:t>
                  </w:r>
                  <w:r w:rsidRPr="009C2711">
                    <w:rPr>
                      <w:rFonts w:ascii="Adobe Garamond Pro" w:hAnsi="Adobe Garamond Pro"/>
                      <w:b/>
                      <w:color w:val="FFFFFF" w:themeColor="background1"/>
                    </w:rPr>
                    <w:t xml:space="preserve">.  Regnum Books International: Waynesboro, GA.  </w:t>
                  </w:r>
                </w:p>
                <w:p w:rsidR="0006605D" w:rsidRPr="009C2711" w:rsidRDefault="00D0714D">
                  <w:pPr>
                    <w:rPr>
                      <w:rFonts w:ascii="Adobe Garamond Pro" w:hAnsi="Adobe Garamond Pro"/>
                      <w:color w:val="FFFFFF" w:themeColor="background1"/>
                    </w:rPr>
                  </w:pPr>
                  <w:r w:rsidRPr="009C2711">
                    <w:rPr>
                      <w:rFonts w:ascii="Adobe Garamond Pro" w:hAnsi="Adobe Garamond Pro"/>
                      <w:color w:val="FFFFFF" w:themeColor="background1"/>
                    </w:rPr>
                    <w:tab/>
                    <w:t>Christian Microenterprise Development has grown in popularity in recent years</w:t>
                  </w:r>
                  <w:r w:rsidRPr="009C2711">
                    <w:rPr>
                      <w:rFonts w:ascii="Adobe Garamond Pro" w:hAnsi="Adobe Garamond Pro"/>
                      <w:color w:val="FFFFFF" w:themeColor="background1"/>
                    </w:rPr>
                    <w:t xml:space="preserve"> as mission-minded individuals see how they can use CMED to practically apply God’s love for the poor.  It is an integrated, holistic approach to microenterprise.  It has potential for Bible studies, discipleship, community uplift, and sustainability.  Sus</w:t>
                  </w:r>
                  <w:r w:rsidRPr="009C2711">
                    <w:rPr>
                      <w:rFonts w:ascii="Adobe Garamond Pro" w:hAnsi="Adobe Garamond Pro"/>
                      <w:color w:val="FFFFFF" w:themeColor="background1"/>
                    </w:rPr>
                    <w:t xml:space="preserve">tainability is a noble pursuit, and is necessary if CMED is going to have lasting, long-term effects.  However, practitioners of CMED must be careful to avoid getting caught-up in tunnel-vision for sustainability, which can lead to “mission drift”.  There </w:t>
                  </w:r>
                  <w:r w:rsidRPr="009C2711">
                    <w:rPr>
                      <w:rFonts w:ascii="Adobe Garamond Pro" w:hAnsi="Adobe Garamond Pro"/>
                      <w:color w:val="FFFFFF" w:themeColor="background1"/>
                    </w:rPr>
                    <w:t>must be a balance between focus on sustainability and services for the poor (11-12).</w:t>
                  </w:r>
                  <w:r>
                    <w:rPr>
                      <w:rFonts w:ascii="Adobe Garamond Pro" w:hAnsi="Adobe Garamond Pro"/>
                      <w:color w:val="FFFFFF" w:themeColor="background1"/>
                    </w:rPr>
                    <w:t xml:space="preserve">  </w:t>
                  </w:r>
                  <w:r w:rsidRPr="009C2711">
                    <w:rPr>
                      <w:rFonts w:ascii="Adobe Garamond Pro" w:hAnsi="Adobe Garamond Pro"/>
                      <w:color w:val="FFFFFF" w:themeColor="background1"/>
                    </w:rPr>
                    <w:t>Bussau and Mask emphasize that it is crucial to regularly re-evaluate practices to ensure that the CMED institution does not view MED as merely a material, financial affa</w:t>
                  </w:r>
                  <w:r w:rsidRPr="009C2711">
                    <w:rPr>
                      <w:rFonts w:ascii="Adobe Garamond Pro" w:hAnsi="Adobe Garamond Pro"/>
                      <w:color w:val="FFFFFF" w:themeColor="background1"/>
                    </w:rPr>
                    <w:t xml:space="preserve">ir, but as a holistic ministry of sharing the hope and transformation of life in Christ.  </w:t>
                  </w:r>
                </w:p>
              </w:txbxContent>
            </v:textbox>
            <w10:wrap type="tight"/>
          </v:shape>
        </w:pict>
      </w:r>
      <w:r>
        <w:rPr>
          <w:noProof/>
        </w:rPr>
        <w:pict>
          <v:group id="_x0000_s2309" style="position:absolute;margin-left:36pt;margin-top:271.75pt;width:270pt;height:484.25pt;z-index:251658305;mso-position-horizontal-relative:page;mso-position-vertical-relative:page" coordsize="20000,20000" wrapcoords="0 0 21600 0 21600 21600 0 21600 0 0" mv:complextextbox="1">
            <o:lock v:ext="edit" ungrouping="t"/>
            <v:shape id="_x0000_s2310" type="#_x0000_t202" style="position:absolute;width:20000;height:20000;mso-wrap-edited:f;mso-position-horizontal-relative:page;mso-position-vertical-relative:page" wrapcoords="0 0 21600 0 21600 21600 0 21600 0 0" mv:complextextbox="1" filled="f" stroked="f">
              <v:fill o:detectmouseclick="t"/>
              <v:textbox style="mso-next-textbox:#_x0000_s2145" inset="0,0,0,0"/>
            </v:shape>
            <v:shape id="_x0000_s2311" type="#_x0000_t202" style="position:absolute;width:19996;height:597" filled="f" stroked="f">
              <v:textbox style="mso-next-textbox:#_x0000_s2312" inset="0,0,0,0">
                <w:txbxContent>
                  <w:p w:rsidR="0006605D" w:rsidRDefault="00D0714D" w:rsidP="002A0718">
                    <w:pPr>
                      <w:rPr>
                        <w:rFonts w:ascii="Adobe Garamond Pro" w:hAnsi="Adobe Garamond Pro"/>
                        <w:color w:val="FFFFFF" w:themeColor="background1"/>
                      </w:rPr>
                    </w:pPr>
                    <w:r w:rsidRPr="002A0718">
                      <w:rPr>
                        <w:rFonts w:ascii="Adobe Garamond Pro" w:hAnsi="Adobe Garamond Pro"/>
                        <w:color w:val="FFFFFF" w:themeColor="background1"/>
                      </w:rPr>
                      <w:t>served.  As the authors write, a common thread of these success stories were that “All initiativ</w:t>
                    </w:r>
                    <w:r w:rsidRPr="002A0718">
                      <w:rPr>
                        <w:rFonts w:ascii="Adobe Garamond Pro" w:hAnsi="Adobe Garamond Pro"/>
                        <w:color w:val="FFFFFF" w:themeColor="background1"/>
                      </w:rPr>
                      <w:t>es were organized to mobilize and build upon the assets of the poor constituencies they served, and so were able to turn relatively small investments in sustainable activity resourced in large part by poor and marginalized groups” (21).  They use the abili</w:t>
                    </w:r>
                    <w:r w:rsidRPr="002A0718">
                      <w:rPr>
                        <w:rFonts w:ascii="Adobe Garamond Pro" w:hAnsi="Adobe Garamond Pro"/>
                        <w:color w:val="FFFFFF" w:themeColor="background1"/>
                      </w:rPr>
                      <w:t>ties and assets of the communities of their respective contexts, invest into them through education, services, or organization, and as a result leave a people empowered with creative solutions that came from their own hands.</w:t>
                    </w:r>
                  </w:p>
                  <w:p w:rsidR="0006605D" w:rsidRPr="009C2711" w:rsidRDefault="00D0714D" w:rsidP="002A0718">
                    <w:pPr>
                      <w:rPr>
                        <w:rFonts w:ascii="Adobe Garamond Pro" w:hAnsi="Adobe Garamond Pro"/>
                        <w:b/>
                        <w:color w:val="FFFFFF" w:themeColor="background1"/>
                      </w:rPr>
                    </w:pPr>
                    <w:r w:rsidRPr="009C2711">
                      <w:rPr>
                        <w:rFonts w:ascii="Adobe Garamond Pro" w:hAnsi="Adobe Garamond Pro"/>
                        <w:b/>
                        <w:color w:val="FFFFFF" w:themeColor="background1"/>
                      </w:rPr>
                      <w:t>Ashta, A. (2010). “Hinduism and</w:t>
                    </w:r>
                    <w:r w:rsidRPr="009C2711">
                      <w:rPr>
                        <w:rFonts w:ascii="Adobe Garamond Pro" w:hAnsi="Adobe Garamond Pro"/>
                        <w:b/>
                        <w:color w:val="FFFFFF" w:themeColor="background1"/>
                      </w:rPr>
                      <w:t xml:space="preserve"> Microfinance”.  Burgundy School of Business.  pp. 1-21.  </w:t>
                    </w:r>
                  </w:p>
                  <w:p w:rsidR="0006605D" w:rsidRPr="002A0718" w:rsidRDefault="00D0714D" w:rsidP="002A0718">
                    <w:pPr>
                      <w:rPr>
                        <w:rFonts w:ascii="Adobe Garamond Pro" w:hAnsi="Adobe Garamond Pro"/>
                        <w:color w:val="FFFFFF" w:themeColor="background1"/>
                      </w:rPr>
                    </w:pPr>
                    <w:r w:rsidRPr="002A0718">
                      <w:rPr>
                        <w:rFonts w:ascii="Adobe Garamond Pro" w:hAnsi="Adobe Garamond Pro"/>
                        <w:color w:val="FFFFFF" w:themeColor="background1"/>
                      </w:rPr>
                      <w:tab/>
                      <w:t>Religious attitudes and persuasions usually have some effect on economic practices and situations.  While there has been a great deal of study relating to Judaism, Islam, and a variety of Christia</w:t>
                    </w:r>
                    <w:r w:rsidRPr="002A0718">
                      <w:rPr>
                        <w:rFonts w:ascii="Adobe Garamond Pro" w:hAnsi="Adobe Garamond Pro"/>
                        <w:color w:val="FFFFFF" w:themeColor="background1"/>
                      </w:rPr>
                      <w:t xml:space="preserve">n denominations and economic activity, Hinduism financial outplay has not received the same amount of attention. Seeing an academic gap, Ashta refers to ancient Hindu scriptures to see what they prescribe for treatment of finance.  </w:t>
                    </w:r>
                  </w:p>
                  <w:p w:rsidR="0006605D" w:rsidRPr="002A0718" w:rsidRDefault="00D0714D" w:rsidP="002A0718">
                    <w:pPr>
                      <w:pStyle w:val="BodyText2"/>
                      <w:spacing w:after="0" w:line="240" w:lineRule="auto"/>
                      <w:rPr>
                        <w:sz w:val="24"/>
                      </w:rPr>
                    </w:pPr>
                    <w:r w:rsidRPr="002A0718">
                      <w:rPr>
                        <w:rFonts w:ascii="Adobe Garamond Pro" w:hAnsi="Adobe Garamond Pro"/>
                        <w:sz w:val="24"/>
                      </w:rPr>
                      <w:t xml:space="preserve">Money is given a place </w:t>
                    </w:r>
                    <w:r w:rsidRPr="002A0718">
                      <w:rPr>
                        <w:rFonts w:ascii="Adobe Garamond Pro" w:hAnsi="Adobe Garamond Pro"/>
                        <w:sz w:val="24"/>
                      </w:rPr>
                      <w:t>among the four qualities of life, along with salvation, dharma, and pleasure.  Lakshmi, the goddess of wealth, is married to Vishnu, the god of preservation.  So then, it can be deduced that it is money that keeps the world going (Ashta 6).   Exorbitant in</w:t>
                    </w:r>
                    <w:r w:rsidRPr="002A0718">
                      <w:rPr>
                        <w:rFonts w:ascii="Adobe Garamond Pro" w:hAnsi="Adobe Garamond Pro"/>
                        <w:sz w:val="24"/>
                      </w:rPr>
                      <w:t xml:space="preserve">terest rates are permitted and even laid out in the Manu Smriti.  When it comes to debt repayment, Ashta points out that many articles in Chapter VIII of the Manusmriti clearly favor the creditor.  </w:t>
                    </w:r>
                  </w:p>
                </w:txbxContent>
              </v:textbox>
            </v:shape>
            <v:shape id="_x0000_s2312" type="#_x0000_t202" style="position:absolute;top:595;width:19996;height:6362" filled="f" stroked="f">
              <v:textbox style="mso-next-textbox:#_x0000_s2313" inset="0,0,0,0">
                <w:txbxContent/>
              </v:textbox>
            </v:shape>
            <v:shape id="_x0000_s2313" type="#_x0000_t202" style="position:absolute;top:6955;width:19996;height:1605" filled="f" stroked="f">
              <v:textbox style="mso-next-textbox:#_x0000_s2314" inset="0,0,0,0">
                <w:txbxContent/>
              </v:textbox>
            </v:shape>
            <v:shape id="_x0000_s2314" type="#_x0000_t202" style="position:absolute;top:8558;width:19996;height:5173" filled="f" stroked="f">
              <v:textbox style="mso-next-textbox:#_x0000_s2315" inset="0,0,0,0">
                <w:txbxContent/>
              </v:textbox>
            </v:shape>
            <v:shape id="_x0000_s2315" type="#_x0000_t202" style="position:absolute;top:13728;width:19996;height:5355" filled="f" stroked="f">
              <v:textbox style="mso-next-textbox:#_x0000_s2315" inset="0,0,0,0">
                <w:txbxContent/>
              </v:textbox>
            </v:shape>
            <w10:wrap type="tight" anchorx="page" anchory="page"/>
          </v:group>
        </w:pict>
      </w:r>
      <w:r>
        <w:rPr>
          <w:noProof/>
        </w:rPr>
        <w:pict>
          <v:rect id="_x0000_s2169" style="position:absolute;margin-left:36pt;margin-top:271.75pt;width:540pt;height:484.25pt;z-index:251658263;mso-wrap-edited:f;mso-position-horizontal-relative:page;mso-position-vertical-relative:page" o:regroupid="3" fillcolor="#669 [3206]" stroked="f" strokecolor="#4a7ebb" strokeweight="1.5pt">
            <v:fill o:detectmouseclick="t"/>
            <v:shadow opacity="22938f" mv:blur="38100f" offset="0,2pt"/>
            <v:textbox style="mso-next-textbox:#_x0000_s2169" inset=",7.2pt,,7.2pt">
              <w:txbxContent>
                <w:p w:rsidR="0006605D" w:rsidRPr="00AD174A" w:rsidRDefault="00D0714D" w:rsidP="00C67D76">
                  <w:pPr>
                    <w:pStyle w:val="Symbol"/>
                    <w:rPr>
                      <w:color w:val="C1C1D6" w:themeColor="accent3" w:themeTint="66"/>
                    </w:rPr>
                  </w:pPr>
                </w:p>
              </w:txbxContent>
            </v:textbox>
            <w10:wrap anchorx="page" anchory="page"/>
          </v:rect>
        </w:pict>
      </w:r>
      <w:r>
        <w:br w:type="page"/>
      </w:r>
      <w:r>
        <w:rPr>
          <w:noProof/>
        </w:rPr>
        <w:pict>
          <v:shape id="_x0000_s2175" type="#_x0000_t202" style="position:absolute;margin-left:317pt;margin-top:189.25pt;width:259.2pt;height:566.95pt;z-index:251658311;mso-wrap-edited:f;mso-position-horizontal-relative:page;mso-position-vertical-relative:page" wrapcoords="0 0 21600 0 21600 21600 0 21600 0 0" mv:complextextbox="1" filled="f" stroked="f">
            <v:fill o:detectmouseclick="t"/>
            <v:textbox style="mso-next-textbox:#_x0000_s2175" inset="0,0,0,0">
              <w:txbxContent>
                <w:p w:rsidR="0006605D" w:rsidRPr="009C2711" w:rsidRDefault="00D0714D" w:rsidP="009C2711">
                  <w:pPr>
                    <w:rPr>
                      <w:rFonts w:ascii="Adobe Garamond Pro" w:hAnsi="Adobe Garamond Pro"/>
                    </w:rPr>
                  </w:pPr>
                  <w:r w:rsidRPr="009C2711">
                    <w:rPr>
                      <w:rFonts w:ascii="Adobe Garamond Pro" w:hAnsi="Adobe Garamond Pro"/>
                    </w:rPr>
                    <w:t>Most of the twenty female entrepreneurs they interviewed had educational backgrounds that</w:t>
                  </w:r>
                  <w:r w:rsidRPr="009C2711">
                    <w:rPr>
                      <w:rFonts w:ascii="Adobe Garamond Pro" w:hAnsi="Adobe Garamond Pro"/>
                    </w:rPr>
                    <w:t xml:space="preserve"> mirrored those of their for-profit counterparts, with 18 of the 20 holding university degrees, and 13 of them held post-graduate degrees as well (143).   85% of the women came from upper or middle-income groups, with only 15% coming from low-income groups</w:t>
                  </w:r>
                  <w:r w:rsidRPr="009C2711">
                    <w:rPr>
                      <w:rFonts w:ascii="Adobe Garamond Pro" w:hAnsi="Adobe Garamond Pro"/>
                    </w:rPr>
                    <w:t>.  In all probability, this indicates the importance of women’s financial stability to pursue entrepreneurial activity (144).  And out of the twenty, 15 (80%) are Brahmin in caste (146).  This significant percentage, even within a small sample size, indica</w:t>
                  </w:r>
                  <w:r w:rsidRPr="009C2711">
                    <w:rPr>
                      <w:rFonts w:ascii="Adobe Garamond Pro" w:hAnsi="Adobe Garamond Pro"/>
                    </w:rPr>
                    <w:t>tes some sort of freedom and attraction amongst upper caste women to become active in social entrepreneurship.  They have more social power and can “combat traditionalist forces and legitimize socially controversial issues related to women” (147).In India,</w:t>
                  </w:r>
                  <w:r w:rsidRPr="009C2711">
                    <w:rPr>
                      <w:rFonts w:ascii="Adobe Garamond Pro" w:hAnsi="Adobe Garamond Pro"/>
                    </w:rPr>
                    <w:t xml:space="preserve"> female social entrepreneurs tend to have a common set of motivations.  Among them are the desire to serve, seeing needs in the community, self-actualization as capable Indian women, a desire to achieve societal change, and various other reasons like the d</w:t>
                  </w:r>
                  <w:r w:rsidRPr="009C2711">
                    <w:rPr>
                      <w:rFonts w:ascii="Adobe Garamond Pro" w:hAnsi="Adobe Garamond Pro"/>
                    </w:rPr>
                    <w:t xml:space="preserve">esire to try something new (146).  Surprisingly, and contrary to previous studies, the women in this overwhelmingly Hindu sample did not cite religion as a motivation for their nonprofit actions.  Rather, feminist ideology was the primary motivating force </w:t>
                  </w:r>
                  <w:r w:rsidRPr="009C2711">
                    <w:rPr>
                      <w:rFonts w:ascii="Adobe Garamond Pro" w:hAnsi="Adobe Garamond Pro"/>
                    </w:rPr>
                    <w:t xml:space="preserve">(147).  </w:t>
                  </w:r>
                </w:p>
                <w:p w:rsidR="0006605D" w:rsidRDefault="00D0714D" w:rsidP="00C67D76">
                  <w:pPr>
                    <w:pStyle w:val="BodyText"/>
                  </w:pPr>
                </w:p>
              </w:txbxContent>
            </v:textbox>
            <w10:wrap type="tight" anchorx="page" anchory="page"/>
          </v:shape>
        </w:pict>
      </w:r>
      <w:r>
        <w:rPr>
          <w:noProof/>
        </w:rPr>
        <w:pict>
          <v:rect id="_x0000_s2100" style="position:absolute;margin-left:402.25pt;margin-top:36pt;width:172.8pt;height:153.25pt;z-index:251658268;mso-wrap-edited:f;mso-position-horizontal-relative:page;mso-position-vertical-relative:page" wrapcoords="-59 -77 -59 21522 21659 21522 21659 -77 -59 -77" fillcolor="#996 [3207]" stroked="f" strokecolor="#4a7ebb" strokeweight="1.5pt">
            <v:fill o:detectmouseclick="t"/>
            <v:shadow opacity="22938f" mv:blur="38100f" offset="0,2pt"/>
            <v:textbox inset=",7.2pt,,7.2pt"/>
            <w10:wrap type="tight" anchorx="page" anchory="page"/>
          </v:rect>
        </w:pict>
      </w:r>
      <w:r>
        <w:rPr>
          <w:noProof/>
        </w:rPr>
        <w:pict>
          <v:shape id="_x0000_s2172" type="#_x0000_t202" style="position:absolute;margin-left:36pt;margin-top:189.25pt;width:270pt;height:566.95pt;z-index:251658308;mso-wrap-edited:f;mso-position-horizontal-relative:page;mso-position-vertical-relative:page" wrapcoords="0 0 21600 0 21600 21600 0 21600 0 0" mv:complextextbox="1" filled="f" stroked="f">
            <v:fill o:detectmouseclick="t"/>
            <v:textbox style="mso-next-textbox:#_x0000_s2172" inset="0,0,0,0">
              <w:txbxContent>
                <w:p w:rsidR="0006605D" w:rsidRDefault="00D0714D" w:rsidP="009C2711">
                  <w:pPr>
                    <w:rPr>
                      <w:rFonts w:ascii="Adobe Garamond Pro" w:hAnsi="Adobe Garamond Pro"/>
                    </w:rPr>
                  </w:pPr>
                  <w:r w:rsidRPr="009C2711">
                    <w:rPr>
                      <w:rFonts w:ascii="Adobe Garamond Pro" w:hAnsi="Adobe Garamond Pro"/>
                    </w:rPr>
                    <w:t>This can be difficult to maintain with sustainability, as secular investor typically desire fast material and financial growth, and may not understand a holisti</w:t>
                  </w:r>
                  <w:r w:rsidRPr="009C2711">
                    <w:rPr>
                      <w:rFonts w:ascii="Adobe Garamond Pro" w:hAnsi="Adobe Garamond Pro"/>
                    </w:rPr>
                    <w:t>c vision as easily.  Often, a combination of secular and Christian donors can facilitate effective and sustainable programs (12).</w:t>
                  </w:r>
                </w:p>
                <w:p w:rsidR="0006605D" w:rsidRDefault="00D0714D" w:rsidP="009C2711">
                  <w:pPr>
                    <w:rPr>
                      <w:rFonts w:ascii="Adobe Garamond Pro" w:hAnsi="Adobe Garamond Pro"/>
                    </w:rPr>
                  </w:pPr>
                  <w:r w:rsidRPr="009C2711">
                    <w:rPr>
                      <w:rFonts w:ascii="Adobe Garamond Pro" w:hAnsi="Adobe Garamond Pro"/>
                    </w:rPr>
                    <w:t xml:space="preserve">While both MFIs and local churches sometimes see each other as incompatible, the truth is that they are indispensible to each </w:t>
                  </w:r>
                  <w:r w:rsidRPr="009C2711">
                    <w:rPr>
                      <w:rFonts w:ascii="Adobe Garamond Pro" w:hAnsi="Adobe Garamond Pro"/>
                    </w:rPr>
                    <w:t>other’s success.  “Microfinance activity alone does not necessarily result in poverty alleviation, and… effective transformation is best stimulated through multifaceted complimentary integrated strategies, of which MED is an important component” (14).</w:t>
                  </w:r>
                </w:p>
                <w:p w:rsidR="0006605D" w:rsidRPr="009C2711" w:rsidRDefault="00D0714D" w:rsidP="009C2711">
                  <w:pPr>
                    <w:rPr>
                      <w:rFonts w:ascii="Adobe Garamond Pro" w:hAnsi="Adobe Garamond Pro"/>
                      <w:b/>
                    </w:rPr>
                  </w:pPr>
                  <w:r w:rsidRPr="009C2711">
                    <w:rPr>
                      <w:rFonts w:ascii="Adobe Garamond Pro" w:hAnsi="Adobe Garamond Pro"/>
                      <w:b/>
                    </w:rPr>
                    <w:t>Hand</w:t>
                  </w:r>
                  <w:r w:rsidRPr="009C2711">
                    <w:rPr>
                      <w:rFonts w:ascii="Adobe Garamond Pro" w:hAnsi="Adobe Garamond Pro"/>
                      <w:b/>
                    </w:rPr>
                    <w:t xml:space="preserve">y, F., Kassam, M., and Ranade, S.  (2003).  “Factors Influencing Women Entrepreneurs of NGOs in India.” </w:t>
                  </w:r>
                  <w:r w:rsidRPr="009C2711">
                    <w:rPr>
                      <w:rFonts w:ascii="Adobe Garamond Pro" w:hAnsi="Adobe Garamond Pro"/>
                      <w:b/>
                      <w:i/>
                    </w:rPr>
                    <w:t>Nonprofit Management and Leadership</w:t>
                  </w:r>
                  <w:r w:rsidRPr="009C2711">
                    <w:rPr>
                      <w:rFonts w:ascii="Adobe Garamond Pro" w:hAnsi="Adobe Garamond Pro"/>
                      <w:b/>
                    </w:rPr>
                    <w:t xml:space="preserve">. 13(2). pp. 139-154. </w:t>
                  </w:r>
                </w:p>
                <w:p w:rsidR="0006605D" w:rsidRPr="009C2711" w:rsidRDefault="00D0714D" w:rsidP="009C2711">
                  <w:pPr>
                    <w:rPr>
                      <w:rFonts w:ascii="Adobe Garamond Pro" w:hAnsi="Adobe Garamond Pro"/>
                    </w:rPr>
                  </w:pPr>
                  <w:r w:rsidRPr="009C2711">
                    <w:rPr>
                      <w:rFonts w:ascii="Adobe Garamond Pro" w:hAnsi="Adobe Garamond Pro"/>
                    </w:rPr>
                    <w:tab/>
                    <w:t>In their study of female social entrepreneurs, Handy, Kassam, and Ranade examine various fact</w:t>
                  </w:r>
                  <w:r w:rsidRPr="009C2711">
                    <w:rPr>
                      <w:rFonts w:ascii="Adobe Garamond Pro" w:hAnsi="Adobe Garamond Pro"/>
                    </w:rPr>
                    <w:t>ors that create the profile of women entrepreneurs in India.  They selected 20 NGOs in the Indian state of Maharashtra, all of which have strong female leadership and a significant focus on gender issues.  They use Collins and Moore’s definition of entrepr</w:t>
                  </w:r>
                  <w:r w:rsidRPr="009C2711">
                    <w:rPr>
                      <w:rFonts w:ascii="Adobe Garamond Pro" w:hAnsi="Adobe Garamond Pro"/>
                    </w:rPr>
                    <w:t>eneurship, defining it as “the catalytic agent in society which sets into motion new enterprises, new combinations of production and exchange” (139).  While this is describes entrepreneurship in the for-profit sector, it can also be applied to the nonprofi</w:t>
                  </w:r>
                  <w:r w:rsidRPr="009C2711">
                    <w:rPr>
                      <w:rFonts w:ascii="Adobe Garamond Pro" w:hAnsi="Adobe Garamond Pro"/>
                    </w:rPr>
                    <w:t>t sector.  The authors define a nonprofit entrepreneur as “a self directed, innovative leader who starts a nonprofit enterprise” (140).The authors study important life factors of the female social entrepreneurs studied.  Within the specific cultural contex</w:t>
                  </w:r>
                  <w:r w:rsidRPr="009C2711">
                    <w:rPr>
                      <w:rFonts w:ascii="Adobe Garamond Pro" w:hAnsi="Adobe Garamond Pro"/>
                    </w:rPr>
                    <w:t xml:space="preserve">t of India, they examine realms of education and experience, marital and family responsibilities, financial capital and personal connections, and role models.    </w:t>
                  </w:r>
                </w:p>
                <w:p w:rsidR="0006605D" w:rsidRPr="009C2711" w:rsidRDefault="00D0714D" w:rsidP="009C2711">
                  <w:pPr>
                    <w:rPr>
                      <w:rFonts w:ascii="Adobe Garamond Pro" w:hAnsi="Adobe Garamond Pro"/>
                    </w:rPr>
                  </w:pPr>
                </w:p>
                <w:p w:rsidR="0006605D" w:rsidRPr="009C2711" w:rsidRDefault="00D0714D" w:rsidP="009C2711">
                  <w:pPr>
                    <w:rPr>
                      <w:rFonts w:ascii="Adobe Garamond Pro" w:hAnsi="Adobe Garamond Pro"/>
                    </w:rPr>
                  </w:pPr>
                </w:p>
                <w:p w:rsidR="0006605D" w:rsidRPr="009C2711" w:rsidRDefault="00D0714D" w:rsidP="00C67D76">
                  <w:pPr>
                    <w:pStyle w:val="BodyText"/>
                    <w:rPr>
                      <w:rFonts w:ascii="Adobe Garamond Pro" w:hAnsi="Adobe Garamond Pro"/>
                    </w:rPr>
                  </w:pPr>
                </w:p>
              </w:txbxContent>
            </v:textbox>
            <w10:wrap type="tight" anchorx="page" anchory="page"/>
          </v:shape>
        </w:pict>
      </w:r>
      <w:r>
        <w:rPr>
          <w:noProof/>
        </w:rPr>
        <w:pict>
          <v:rect id="_x0000_s2099" style="position:absolute;margin-left:230.6pt;margin-top:36pt;width:172.8pt;height:153.25pt;z-index:251658267;mso-wrap-edited:f;mso-position-horizontal-relative:page;mso-position-vertical-relative:page" wrapcoords="-59 -77 -59 21522 21659 21522 21659 -77 -59 -77" fillcolor="#636 [3204]" stroked="f" strokecolor="#4a7ebb" strokeweight="1.5pt">
            <v:fill o:detectmouseclick="t"/>
            <v:shadow opacity="22938f" mv:blur="38100f" offset="0,2pt"/>
            <v:textbox inset=",7.2pt,,7.2pt"/>
            <w10:wrap type="tight" anchorx="page" anchory="page"/>
          </v:rect>
        </w:pict>
      </w:r>
      <w:r>
        <w:rPr>
          <w:noProof/>
        </w:rPr>
        <w:pict>
          <v:shape id="_x0000_s2173" type="#_x0000_t202" style="position:absolute;margin-left:18pt;margin-top:26.5pt;width:2in;height:36pt;z-index:251658309;mso-wrap-edited:f;mso-position-horizontal-relative:page;mso-position-vertical-relative:page" wrapcoords="0 0 21600 0 21600 21600 0 21600 0 0" filled="f" stroked="f">
            <v:fill o:detectmouseclick="t"/>
            <v:stroke o:forcedash="t"/>
            <v:textbox style="mso-next-textbox:#_x0000_s2173" inset="0,0,0,0">
              <w:txbxContent>
                <w:p w:rsidR="0006605D" w:rsidRPr="009C07CB" w:rsidRDefault="00D0714D" w:rsidP="00C67D76">
                  <w:pPr>
                    <w:pStyle w:val="Symbol"/>
                    <w:rPr>
                      <w:color w:val="CF9FCF" w:themeColor="accent1" w:themeTint="66"/>
                    </w:rPr>
                  </w:pPr>
                  <w:r w:rsidRPr="009C07CB">
                    <w:rPr>
                      <w:color w:val="CF9FCF" w:themeColor="accent1" w:themeTint="66"/>
                    </w:rPr>
                    <w:t>+</w:t>
                  </w:r>
                </w:p>
              </w:txbxContent>
            </v:textbox>
            <w10:wrap anchorx="page" anchory="page"/>
          </v:shape>
        </w:pict>
      </w:r>
    </w:p>
    <w:sectPr w:rsidR="00C67D76" w:rsidSect="00C67D76">
      <w:footerReference w:type="even" r:id="rId11"/>
      <w:footerReference w:type="default" r:id="rId12"/>
      <w:pgSz w:w="12240" w:h="15840"/>
      <w:pgMar w:top="720" w:right="720" w:bottom="720" w:left="720" w:gutter="0"/>
      <w:titlePg/>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Rockwell">
    <w:panose1 w:val="02060603020205020403"/>
    <w:charset w:val="00"/>
    <w:family w:val="auto"/>
    <w:pitch w:val="variable"/>
    <w:sig w:usb0="00000003" w:usb1="00000000" w:usb2="00000000" w:usb3="00000000" w:csb0="00000001" w:csb1="00000000"/>
  </w:font>
  <w:font w:name="Adobe Garamond Pro">
    <w:panose1 w:val="02020502060506020403"/>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7B484E" w:rsidRDefault="00D0714D">
    <w:pPr>
      <w:pStyle w:val="Footer"/>
    </w:pPr>
    <w:r>
      <w:rPr>
        <w:noProof/>
      </w:rPr>
      <w:pict>
        <v:shapetype id="_x0000_t202" coordsize="21600,21600" o:spt="202" path="m0,0l0,21600,21600,21600,21600,0xe">
          <v:stroke joinstyle="miter"/>
          <v:path gradientshapeok="t" o:connecttype="rect"/>
        </v:shapetype>
        <v:shape id="_x0000_s1026" type="#_x0000_t202" style="position:absolute;margin-left:21pt;margin-top:756pt;width:48pt;height:19pt;z-index:251658241;mso-wrap-edited:f;mso-position-horizontal-relative:page;mso-position-vertical-relative:page" wrapcoords="0 0 21600 0 21600 21600 0 21600 0 0" filled="f" stroked="f">
          <v:fill o:detectmouseclick="t"/>
          <v:textbox style="mso-next-textbox:#_x0000_s1026" inset="0,0,0,0">
            <w:txbxContent>
              <w:p w:rsidR="007B484E" w:rsidRPr="00F31951" w:rsidRDefault="00D0714D" w:rsidP="00C67D76">
                <w:pPr>
                  <w:pStyle w:val="Footer"/>
                </w:pPr>
                <w:fldSimple w:instr=" PAGE  \* MERGEFORMAT ">
                  <w:r>
                    <w:rPr>
                      <w:noProof/>
                    </w:rPr>
                    <w:t>6</w:t>
                  </w:r>
                </w:fldSimple>
              </w:p>
            </w:txbxContent>
          </v:textbox>
          <w10:wrap type="tight" anchorx="page" anchory="page"/>
        </v:shape>
      </w:pict>
    </w: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7B484E" w:rsidRDefault="00D0714D">
    <w:pPr>
      <w:pStyle w:val="Footer"/>
    </w:pPr>
    <w:r>
      <w:rPr>
        <w:noProof/>
      </w:rPr>
      <w:pict>
        <v:shapetype id="_x0000_t202" coordsize="21600,21600" o:spt="202" path="m0,0l0,21600,21600,21600,21600,0xe">
          <v:stroke joinstyle="miter"/>
          <v:path gradientshapeok="t" o:connecttype="rect"/>
        </v:shapetype>
        <v:shape id="_x0000_s1025" type="#_x0000_t202" style="position:absolute;margin-left:543pt;margin-top:756pt;width:48pt;height:19pt;z-index:251658240;mso-wrap-edited:f;mso-position-horizontal-relative:page;mso-position-vertical-relative:page" wrapcoords="0 0 21600 0 21600 21600 0 21600 0 0" filled="f" stroked="f">
          <v:fill o:detectmouseclick="t"/>
          <v:textbox style="mso-next-textbox:#_x0000_s1025" inset="0,0,0,0">
            <w:txbxContent>
              <w:p w:rsidR="007B484E" w:rsidRPr="00F31951" w:rsidRDefault="00D0714D" w:rsidP="00C67D76">
                <w:pPr>
                  <w:pStyle w:val="Footer-Right"/>
                </w:pPr>
                <w:fldSimple w:instr=" PAGE  \* MERGEFORMAT ">
                  <w:r>
                    <w:rPr>
                      <w:noProof/>
                    </w:rPr>
                    <w:t>5</w:t>
                  </w:r>
                </w:fldSimple>
              </w:p>
            </w:txbxContent>
          </v:textbox>
          <w10:wrap anchorx="page" anchory="page"/>
        </v:shape>
      </w:pict>
    </w:r>
  </w:p>
</w:ft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FFFFFF1D"/>
    <w:multiLevelType w:val="multilevel"/>
    <w:tmpl w:val="CA1064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attachedTemplate r:id="rId1"/>
  <w:revisionView w:markup="0"/>
  <w:doNotTrackMoves/>
  <w:defaultTabStop w:val="720"/>
  <w:evenAndOddHeaders/>
  <w:drawingGridHorizontalSpacing w:val="360"/>
  <w:drawingGridVerticalSpacing w:val="360"/>
  <w:displayHorizontalDrawingGridEvery w:val="0"/>
  <w:displayVerticalDrawingGridEvery w:val="0"/>
  <w:characterSpacingControl w:val="doNotCompress"/>
  <w:savePreviewPicture/>
  <w:hdrShapeDefaults>
    <o:shapedefaults v:ext="edit" spidmax="26626">
      <o:colormenu v:ext="edit" fillcolor="none [3207]" strokecolor="none"/>
    </o:shapedefaults>
    <o:shapelayout v:ext="edit">
      <o:idmap v:ext="edit" data="1"/>
    </o:shapelayout>
  </w:hdrShapeDefaults>
  <w:compat>
    <w:useFELayout/>
    <w:doNotAutofitConstrainedTables/>
    <w:doNotVertAlignCellWithSp/>
    <w:doNotBreakConstrainedForcedTable/>
    <w:useAnsiKerningPairs/>
    <w:cachedColBalance/>
    <w:splitPgBreakAndParaMark/>
  </w:compat>
  <w:docVars>
    <w:docVar w:name="OpenInPublishingView" w:val="0"/>
    <w:docVar w:name="ShowStaticGuides" w:val="1"/>
  </w:docVars>
  <w:rsids>
    <w:rsidRoot w:val="00C67D76"/>
    <w:rsid w:val="00D0714D"/>
  </w:rsids>
  <m:mathPr>
    <m:mathFont m:val="Arial Narrow"/>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6">
      <o:colormenu v:ext="edit" fillcolor="none [3207]" strokecolor="none"/>
    </o:shapedefaults>
    <o:shapelayout v:ext="edit">
      <o:idmap v:ext="edit" data="2"/>
      <o:regrouptable v:ext="edit">
        <o:entry new="1" old="0"/>
        <o:entry new="2" old="0"/>
        <o:entry new="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EA51C5"/>
  </w:style>
  <w:style w:type="paragraph" w:styleId="Heading1">
    <w:name w:val="heading 1"/>
    <w:basedOn w:val="Normal"/>
    <w:next w:val="Normal"/>
    <w:link w:val="Heading1Char"/>
    <w:rsid w:val="0025693F"/>
    <w:pPr>
      <w:spacing w:after="0"/>
      <w:outlineLvl w:val="0"/>
    </w:pPr>
    <w:rPr>
      <w:rFonts w:asciiTheme="majorHAnsi" w:eastAsiaTheme="majorEastAsia" w:hAnsiTheme="majorHAnsi" w:cstheme="majorBidi"/>
      <w:bCs/>
      <w:color w:val="663366" w:themeColor="accent1"/>
      <w:sz w:val="72"/>
      <w:szCs w:val="32"/>
    </w:rPr>
  </w:style>
  <w:style w:type="paragraph" w:styleId="Heading2">
    <w:name w:val="heading 2"/>
    <w:basedOn w:val="Normal"/>
    <w:next w:val="Normal"/>
    <w:link w:val="Heading2Char"/>
    <w:rsid w:val="0025693F"/>
    <w:pPr>
      <w:spacing w:after="0"/>
      <w:outlineLvl w:val="1"/>
    </w:pPr>
    <w:rPr>
      <w:rFonts w:asciiTheme="majorHAnsi" w:eastAsiaTheme="majorEastAsia" w:hAnsiTheme="majorHAnsi" w:cstheme="majorBidi"/>
      <w:bCs/>
      <w:color w:val="666699" w:themeColor="accent3"/>
      <w:sz w:val="48"/>
      <w:szCs w:val="26"/>
    </w:rPr>
  </w:style>
  <w:style w:type="paragraph" w:styleId="Heading3">
    <w:name w:val="heading 3"/>
    <w:basedOn w:val="Normal"/>
    <w:next w:val="Normal"/>
    <w:link w:val="Heading3Char"/>
    <w:rsid w:val="00E04C89"/>
    <w:pPr>
      <w:spacing w:after="0"/>
      <w:outlineLvl w:val="2"/>
    </w:pPr>
    <w:rPr>
      <w:rFonts w:asciiTheme="majorHAnsi" w:eastAsiaTheme="majorEastAsia" w:hAnsiTheme="majorHAnsi" w:cstheme="majorBidi"/>
      <w:bCs/>
      <w:color w:val="FFFFFF" w:themeColor="background1"/>
      <w:sz w:val="72"/>
    </w:rPr>
  </w:style>
  <w:style w:type="paragraph" w:styleId="Heading4">
    <w:name w:val="heading 4"/>
    <w:basedOn w:val="Normal"/>
    <w:next w:val="Normal"/>
    <w:link w:val="Heading4Char"/>
    <w:rsid w:val="00C32E63"/>
    <w:pPr>
      <w:spacing w:after="100"/>
      <w:outlineLvl w:val="3"/>
    </w:pPr>
    <w:rPr>
      <w:rFonts w:asciiTheme="majorHAnsi" w:eastAsiaTheme="majorEastAsia" w:hAnsiTheme="majorHAnsi" w:cstheme="majorBidi"/>
      <w:b/>
      <w:bCs/>
      <w:iCs/>
      <w:color w:val="663366" w:themeColor="accent1"/>
      <w:sz w:val="18"/>
    </w:rPr>
  </w:style>
  <w:style w:type="paragraph" w:styleId="Heading5">
    <w:name w:val="heading 5"/>
    <w:basedOn w:val="Normal"/>
    <w:next w:val="Normal"/>
    <w:link w:val="Heading5Char"/>
    <w:rsid w:val="009C07CB"/>
    <w:pPr>
      <w:spacing w:after="0"/>
      <w:jc w:val="right"/>
      <w:outlineLvl w:val="4"/>
    </w:pPr>
    <w:rPr>
      <w:rFonts w:asciiTheme="majorHAnsi" w:eastAsiaTheme="majorEastAsia" w:hAnsiTheme="majorHAnsi" w:cstheme="majorBidi"/>
      <w:b/>
      <w:color w:val="CF9FCF" w:themeColor="accent1" w:themeTint="66"/>
      <w:sz w:val="36"/>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iPriority w:val="99"/>
    <w:semiHidden/>
    <w:unhideWhenUsed/>
    <w:rsid w:val="007F2140"/>
    <w:pPr>
      <w:tabs>
        <w:tab w:val="center" w:pos="4320"/>
        <w:tab w:val="right" w:pos="8640"/>
      </w:tabs>
      <w:spacing w:after="0"/>
    </w:pPr>
  </w:style>
  <w:style w:type="character" w:customStyle="1" w:styleId="HeaderChar">
    <w:name w:val="Header Char"/>
    <w:basedOn w:val="DefaultParagraphFont"/>
    <w:link w:val="Header"/>
    <w:uiPriority w:val="99"/>
    <w:semiHidden/>
    <w:rsid w:val="007F2140"/>
  </w:style>
  <w:style w:type="paragraph" w:styleId="Footer">
    <w:name w:val="footer"/>
    <w:basedOn w:val="Normal"/>
    <w:link w:val="FooterChar"/>
    <w:uiPriority w:val="99"/>
    <w:unhideWhenUsed/>
    <w:rsid w:val="00F31951"/>
    <w:pPr>
      <w:spacing w:after="0"/>
    </w:pPr>
    <w:rPr>
      <w:color w:val="663366" w:themeColor="accent1"/>
    </w:rPr>
  </w:style>
  <w:style w:type="character" w:customStyle="1" w:styleId="FooterChar">
    <w:name w:val="Footer Char"/>
    <w:basedOn w:val="DefaultParagraphFont"/>
    <w:link w:val="Footer"/>
    <w:uiPriority w:val="99"/>
    <w:rsid w:val="00F31951"/>
    <w:rPr>
      <w:color w:val="663366" w:themeColor="accent1"/>
    </w:rPr>
  </w:style>
  <w:style w:type="paragraph" w:customStyle="1" w:styleId="Symbol">
    <w:name w:val="Symbol"/>
    <w:basedOn w:val="Normal"/>
    <w:qFormat/>
    <w:rsid w:val="002904B3"/>
    <w:pPr>
      <w:spacing w:after="0"/>
    </w:pPr>
    <w:rPr>
      <w:b/>
      <w:sz w:val="60"/>
    </w:rPr>
  </w:style>
  <w:style w:type="paragraph" w:styleId="Title">
    <w:name w:val="Title"/>
    <w:basedOn w:val="Normal"/>
    <w:next w:val="Normal"/>
    <w:link w:val="TitleChar"/>
    <w:uiPriority w:val="10"/>
    <w:qFormat/>
    <w:rsid w:val="00DA797D"/>
    <w:pPr>
      <w:spacing w:after="0"/>
      <w:jc w:val="center"/>
    </w:pPr>
    <w:rPr>
      <w:rFonts w:asciiTheme="majorHAnsi" w:eastAsiaTheme="majorEastAsia" w:hAnsiTheme="majorHAnsi" w:cstheme="majorBidi"/>
      <w:color w:val="FFFFFF" w:themeColor="background1"/>
      <w:sz w:val="96"/>
      <w:szCs w:val="52"/>
    </w:rPr>
  </w:style>
  <w:style w:type="character" w:customStyle="1" w:styleId="TitleChar">
    <w:name w:val="Title Char"/>
    <w:basedOn w:val="DefaultParagraphFont"/>
    <w:link w:val="Title"/>
    <w:uiPriority w:val="10"/>
    <w:rsid w:val="00DA797D"/>
    <w:rPr>
      <w:rFonts w:asciiTheme="majorHAnsi" w:eastAsiaTheme="majorEastAsia" w:hAnsiTheme="majorHAnsi" w:cstheme="majorBidi"/>
      <w:color w:val="FFFFFF" w:themeColor="background1"/>
      <w:sz w:val="96"/>
      <w:szCs w:val="52"/>
    </w:rPr>
  </w:style>
  <w:style w:type="paragraph" w:customStyle="1" w:styleId="BlockHeading">
    <w:name w:val="Block Heading"/>
    <w:basedOn w:val="Normal"/>
    <w:link w:val="BlockHeadingChar"/>
    <w:qFormat/>
    <w:rsid w:val="00AF21DA"/>
    <w:pPr>
      <w:spacing w:after="0"/>
    </w:pPr>
    <w:rPr>
      <w:rFonts w:asciiTheme="majorHAnsi" w:eastAsiaTheme="majorEastAsia" w:hAnsiTheme="majorHAnsi" w:cstheme="majorBidi"/>
      <w:color w:val="FFFFFF" w:themeColor="background1"/>
      <w:sz w:val="48"/>
    </w:rPr>
  </w:style>
  <w:style w:type="character" w:customStyle="1" w:styleId="BlockHeadingChar">
    <w:name w:val="Block Heading Char"/>
    <w:basedOn w:val="DefaultParagraphFont"/>
    <w:link w:val="BlockHeading"/>
    <w:rsid w:val="00AF21DA"/>
    <w:rPr>
      <w:rFonts w:asciiTheme="majorHAnsi" w:eastAsiaTheme="majorEastAsia" w:hAnsiTheme="majorHAnsi" w:cstheme="majorBidi"/>
      <w:color w:val="FFFFFF" w:themeColor="background1"/>
      <w:sz w:val="48"/>
    </w:rPr>
  </w:style>
  <w:style w:type="paragraph" w:styleId="Subtitle">
    <w:name w:val="Subtitle"/>
    <w:basedOn w:val="Normal"/>
    <w:next w:val="Normal"/>
    <w:link w:val="SubtitleChar"/>
    <w:rsid w:val="00AF21DA"/>
    <w:pPr>
      <w:numPr>
        <w:ilvl w:val="1"/>
      </w:numPr>
      <w:spacing w:after="0"/>
    </w:pPr>
    <w:rPr>
      <w:rFonts w:asciiTheme="majorHAnsi" w:eastAsiaTheme="majorEastAsia" w:hAnsiTheme="majorHAnsi" w:cstheme="majorBidi"/>
      <w:b/>
      <w:iCs/>
      <w:color w:val="FFFFFF" w:themeColor="background1"/>
    </w:rPr>
  </w:style>
  <w:style w:type="character" w:customStyle="1" w:styleId="SubtitleChar">
    <w:name w:val="Subtitle Char"/>
    <w:basedOn w:val="DefaultParagraphFont"/>
    <w:link w:val="Subtitle"/>
    <w:rsid w:val="00AF21DA"/>
    <w:rPr>
      <w:rFonts w:asciiTheme="majorHAnsi" w:eastAsiaTheme="majorEastAsia" w:hAnsiTheme="majorHAnsi" w:cstheme="majorBidi"/>
      <w:b/>
      <w:iCs/>
      <w:color w:val="FFFFFF" w:themeColor="background1"/>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663366" w:themeColor="accent1"/>
      <w:sz w:val="72"/>
      <w:szCs w:val="32"/>
    </w:rPr>
  </w:style>
  <w:style w:type="character" w:customStyle="1" w:styleId="Heading2Char">
    <w:name w:val="Heading 2 Char"/>
    <w:basedOn w:val="DefaultParagraphFont"/>
    <w:link w:val="Heading2"/>
    <w:rsid w:val="0025693F"/>
    <w:rPr>
      <w:rFonts w:asciiTheme="majorHAnsi" w:eastAsiaTheme="majorEastAsia" w:hAnsiTheme="majorHAnsi" w:cstheme="majorBidi"/>
      <w:bCs/>
      <w:color w:val="666699" w:themeColor="accent3"/>
      <w:sz w:val="48"/>
      <w:szCs w:val="26"/>
    </w:rPr>
  </w:style>
  <w:style w:type="paragraph" w:styleId="BodyText">
    <w:name w:val="Body Text"/>
    <w:basedOn w:val="Normal"/>
    <w:link w:val="BodyTextChar"/>
    <w:rsid w:val="002D6496"/>
    <w:pPr>
      <w:spacing w:after="180" w:line="360" w:lineRule="auto"/>
    </w:pPr>
    <w:rPr>
      <w:color w:val="404040" w:themeColor="text1" w:themeTint="BF"/>
      <w:sz w:val="18"/>
    </w:rPr>
  </w:style>
  <w:style w:type="character" w:customStyle="1" w:styleId="BodyTextChar">
    <w:name w:val="Body Text Char"/>
    <w:basedOn w:val="DefaultParagraphFont"/>
    <w:link w:val="BodyText"/>
    <w:rsid w:val="002D6496"/>
    <w:rPr>
      <w:color w:val="404040" w:themeColor="text1" w:themeTint="BF"/>
      <w:sz w:val="18"/>
    </w:rPr>
  </w:style>
  <w:style w:type="character" w:customStyle="1" w:styleId="Heading4Char">
    <w:name w:val="Heading 4 Char"/>
    <w:basedOn w:val="DefaultParagraphFont"/>
    <w:link w:val="Heading4"/>
    <w:rsid w:val="00C32E63"/>
    <w:rPr>
      <w:rFonts w:asciiTheme="majorHAnsi" w:eastAsiaTheme="majorEastAsia" w:hAnsiTheme="majorHAnsi" w:cstheme="majorBidi"/>
      <w:b/>
      <w:bCs/>
      <w:iCs/>
      <w:color w:val="663366" w:themeColor="accent1"/>
      <w:sz w:val="18"/>
    </w:rPr>
  </w:style>
  <w:style w:type="character" w:customStyle="1" w:styleId="Heading5Char">
    <w:name w:val="Heading 5 Char"/>
    <w:basedOn w:val="DefaultParagraphFont"/>
    <w:link w:val="Heading5"/>
    <w:rsid w:val="009C07CB"/>
    <w:rPr>
      <w:rFonts w:asciiTheme="majorHAnsi" w:eastAsiaTheme="majorEastAsia" w:hAnsiTheme="majorHAnsi" w:cstheme="majorBidi"/>
      <w:b/>
      <w:color w:val="CF9FCF" w:themeColor="accent1" w:themeTint="66"/>
      <w:sz w:val="36"/>
    </w:rPr>
  </w:style>
  <w:style w:type="character" w:customStyle="1" w:styleId="Heading3Char">
    <w:name w:val="Heading 3 Char"/>
    <w:basedOn w:val="DefaultParagraphFont"/>
    <w:link w:val="Heading3"/>
    <w:rsid w:val="00E04C89"/>
    <w:rPr>
      <w:rFonts w:asciiTheme="majorHAnsi" w:eastAsiaTheme="majorEastAsia" w:hAnsiTheme="majorHAnsi" w:cstheme="majorBidi"/>
      <w:bCs/>
      <w:color w:val="FFFFFF" w:themeColor="background1"/>
      <w:sz w:val="72"/>
    </w:rPr>
  </w:style>
  <w:style w:type="paragraph" w:styleId="BodyText2">
    <w:name w:val="Body Text 2"/>
    <w:basedOn w:val="BodyText"/>
    <w:link w:val="BodyText2Char"/>
    <w:rsid w:val="00E04C89"/>
    <w:rPr>
      <w:color w:val="FFFFFF" w:themeColor="background1"/>
    </w:rPr>
  </w:style>
  <w:style w:type="character" w:customStyle="1" w:styleId="BodyText2Char">
    <w:name w:val="Body Text 2 Char"/>
    <w:basedOn w:val="DefaultParagraphFont"/>
    <w:link w:val="BodyText2"/>
    <w:rsid w:val="00E04C89"/>
    <w:rPr>
      <w:color w:val="FFFFFF" w:themeColor="background1"/>
      <w:sz w:val="18"/>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F31951"/>
    <w:pPr>
      <w:jc w:val="right"/>
    </w:p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08:Office:Media:Templates:Brochures:Advantage%20Brochure.dotx" TargetMode="External"/></Relationships>
</file>

<file path=word/theme/theme1.xml><?xml version="1.0" encoding="utf-8"?>
<a:theme xmlns:a="http://schemas.openxmlformats.org/drawingml/2006/main" name="Advantag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Advantage">
      <a:majorFont>
        <a:latin typeface="Rockwell"/>
        <a:ea typeface=""/>
        <a:cs typeface=""/>
        <a:font script="Jpan" typeface="ＭＳ ゴシック"/>
      </a:majorFont>
      <a:minorFont>
        <a:latin typeface="Rockwell"/>
        <a:ea typeface=""/>
        <a:cs typeface=""/>
        <a:font script="Jpan" typeface="ＭＳ ゴシック"/>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Advantage Brochure.dotx</Template>
  <TotalTime>72</TotalTime>
  <Pages>6</Pages>
  <Words>7</Words>
  <Characters>41</Characters>
  <Application>Microsoft Word 12.0.0</Application>
  <DocSecurity>0</DocSecurity>
  <Lines>1</Lines>
  <Paragraphs>1</Paragraphs>
  <ScaleCrop>false</ScaleCrop>
  <Manager/>
  <Company/>
  <LinksUpToDate>false</LinksUpToDate>
  <CharactersWithSpaces>50</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Echevarria</dc:creator>
  <cp:keywords/>
  <dc:description/>
  <cp:lastModifiedBy>Emily Echevarria</cp:lastModifiedBy>
  <cp:revision>14</cp:revision>
  <dcterms:created xsi:type="dcterms:W3CDTF">2014-07-07T11:13:00Z</dcterms:created>
  <dcterms:modified xsi:type="dcterms:W3CDTF">2014-07-07T17:00:00Z</dcterms:modified>
  <cp:category/>
</cp:coreProperties>
</file>